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F60F" w14:textId="4A2A83A0" w:rsidR="00EC3DCB" w:rsidRPr="000B41CE" w:rsidRDefault="00EC3DCB" w:rsidP="00EC3DCB">
      <w:pPr>
        <w:pStyle w:val="NormalWeb"/>
        <w:spacing w:before="0" w:beforeAutospacing="0" w:after="0" w:afterAutospacing="0"/>
        <w:jc w:val="center"/>
        <w:rPr>
          <w:rFonts w:ascii="TimesNewRomanPS" w:hAnsi="TimesNewRomanPS"/>
          <w:b/>
          <w:bCs/>
          <w:i/>
          <w:iCs/>
          <w:sz w:val="22"/>
          <w:szCs w:val="22"/>
        </w:rPr>
      </w:pPr>
      <w:r>
        <w:rPr>
          <w:rFonts w:ascii="TimesNewRomanPS" w:hAnsi="TimesNewRomanPS"/>
          <w:b/>
          <w:bCs/>
          <w:sz w:val="22"/>
          <w:szCs w:val="22"/>
        </w:rPr>
        <w:t>PHIL 4</w:t>
      </w:r>
      <w:r w:rsidR="00126345">
        <w:rPr>
          <w:rFonts w:ascii="TimesNewRomanPS" w:hAnsi="TimesNewRomanPS"/>
          <w:b/>
          <w:bCs/>
          <w:sz w:val="22"/>
          <w:szCs w:val="22"/>
        </w:rPr>
        <w:t>15</w:t>
      </w:r>
      <w:r>
        <w:rPr>
          <w:rFonts w:ascii="TimesNewRomanPS" w:hAnsi="TimesNewRomanPS"/>
          <w:b/>
          <w:bCs/>
          <w:sz w:val="22"/>
          <w:szCs w:val="22"/>
        </w:rPr>
        <w:br/>
        <w:t xml:space="preserve">Kant’s </w:t>
      </w:r>
      <w:r w:rsidR="000B41CE">
        <w:rPr>
          <w:rFonts w:ascii="TimesNewRomanPS" w:hAnsi="TimesNewRomanPS"/>
          <w:b/>
          <w:bCs/>
          <w:i/>
          <w:iCs/>
          <w:sz w:val="22"/>
          <w:szCs w:val="22"/>
        </w:rPr>
        <w:t>Critique of Judgment</w:t>
      </w:r>
    </w:p>
    <w:p w14:paraId="4B2BF587" w14:textId="3D7F5991" w:rsidR="00EC3DCB" w:rsidRDefault="000B41CE" w:rsidP="00EC3DCB">
      <w:pPr>
        <w:pStyle w:val="NormalWeb"/>
        <w:spacing w:before="0" w:beforeAutospacing="0" w:after="0" w:afterAutospacing="0"/>
        <w:jc w:val="center"/>
      </w:pPr>
      <w:r>
        <w:rPr>
          <w:rFonts w:ascii="TimesNewRomanPSMT" w:hAnsi="TimesNewRomanPSMT"/>
          <w:sz w:val="22"/>
          <w:szCs w:val="22"/>
        </w:rPr>
        <w:t>Wednesdays 7–9:30 p.m. in Crown Center 142</w:t>
      </w:r>
    </w:p>
    <w:p w14:paraId="7A2F0645" w14:textId="77777777" w:rsidR="00EC3DCB" w:rsidRDefault="00EC3DCB" w:rsidP="00EC3DCB">
      <w:pPr>
        <w:pStyle w:val="NormalWeb"/>
        <w:spacing w:before="0" w:beforeAutospacing="0" w:after="0" w:afterAutospacing="0"/>
        <w:jc w:val="center"/>
        <w:rPr>
          <w:rFonts w:ascii="TimesNewRomanPSMT" w:hAnsi="TimesNewRomanPSMT"/>
          <w:sz w:val="22"/>
          <w:szCs w:val="22"/>
        </w:rPr>
      </w:pPr>
      <w:r>
        <w:rPr>
          <w:rFonts w:ascii="TimesNewRomanPSMT" w:hAnsi="TimesNewRomanPSMT"/>
          <w:sz w:val="22"/>
          <w:szCs w:val="22"/>
        </w:rPr>
        <w:t xml:space="preserve">Professor: Naomi Fisher </w:t>
      </w:r>
    </w:p>
    <w:p w14:paraId="0A53F420" w14:textId="3D9B12DA" w:rsidR="00EC3DCB" w:rsidRDefault="00EC3DCB" w:rsidP="00EC3DCB">
      <w:pPr>
        <w:pStyle w:val="NormalWeb"/>
        <w:spacing w:before="0" w:beforeAutospacing="0" w:after="0" w:afterAutospacing="0"/>
        <w:jc w:val="center"/>
        <w:rPr>
          <w:rFonts w:ascii="TimesNewRomanPSMT" w:hAnsi="TimesNewRomanPSMT"/>
          <w:sz w:val="22"/>
          <w:szCs w:val="22"/>
        </w:rPr>
      </w:pPr>
      <w:r>
        <w:rPr>
          <w:rFonts w:ascii="TimesNewRomanPSMT" w:hAnsi="TimesNewRomanPSMT"/>
          <w:sz w:val="22"/>
          <w:szCs w:val="22"/>
        </w:rPr>
        <w:t xml:space="preserve">Email: </w:t>
      </w:r>
      <w:hyperlink r:id="rId5" w:history="1">
        <w:r w:rsidRPr="008066C3">
          <w:rPr>
            <w:rStyle w:val="Hyperlink"/>
            <w:rFonts w:ascii="TimesNewRomanPSMT" w:hAnsi="TimesNewRomanPSMT"/>
            <w:sz w:val="22"/>
            <w:szCs w:val="22"/>
          </w:rPr>
          <w:t>nfisher1@luc.edu</w:t>
        </w:r>
      </w:hyperlink>
      <w:r>
        <w:rPr>
          <w:rFonts w:ascii="TimesNewRomanPSMT" w:hAnsi="TimesNewRomanPSMT"/>
          <w:sz w:val="22"/>
          <w:szCs w:val="22"/>
        </w:rPr>
        <w:t xml:space="preserve"> </w:t>
      </w:r>
    </w:p>
    <w:p w14:paraId="02895EAA" w14:textId="10C238B0" w:rsidR="00EC3DCB" w:rsidRDefault="00EC3DCB" w:rsidP="00EC3DCB">
      <w:pPr>
        <w:pStyle w:val="NormalWeb"/>
        <w:spacing w:before="0" w:beforeAutospacing="0" w:after="0" w:afterAutospacing="0"/>
        <w:jc w:val="center"/>
        <w:rPr>
          <w:rFonts w:ascii="TimesNewRomanPSMT" w:hAnsi="TimesNewRomanPSMT"/>
          <w:sz w:val="22"/>
          <w:szCs w:val="22"/>
        </w:rPr>
      </w:pPr>
      <w:r>
        <w:rPr>
          <w:rFonts w:ascii="TimesNewRomanPSMT" w:hAnsi="TimesNewRomanPSMT"/>
          <w:sz w:val="22"/>
          <w:szCs w:val="22"/>
        </w:rPr>
        <w:t>Office: Crown Center 343</w:t>
      </w:r>
    </w:p>
    <w:p w14:paraId="7FDD78B9" w14:textId="7B499541" w:rsidR="0073291C" w:rsidRPr="0083219B" w:rsidRDefault="00EC3DCB" w:rsidP="0083219B">
      <w:pPr>
        <w:pStyle w:val="NormalWeb"/>
        <w:spacing w:before="0" w:beforeAutospacing="0" w:after="0" w:afterAutospacing="0"/>
        <w:jc w:val="center"/>
        <w:rPr>
          <w:rFonts w:ascii="TimesNewRomanPSMT" w:hAnsi="TimesNewRomanPSMT"/>
          <w:sz w:val="22"/>
          <w:szCs w:val="22"/>
        </w:rPr>
      </w:pPr>
      <w:r>
        <w:rPr>
          <w:rFonts w:ascii="TimesNewRomanPSMT" w:hAnsi="TimesNewRomanPSMT"/>
          <w:sz w:val="22"/>
          <w:szCs w:val="22"/>
        </w:rPr>
        <w:t>Office hours: Tuesday and Thursday</w:t>
      </w:r>
      <w:r w:rsidR="005D792C">
        <w:rPr>
          <w:rFonts w:ascii="TimesNewRomanPSMT" w:hAnsi="TimesNewRomanPSMT"/>
          <w:sz w:val="22"/>
          <w:szCs w:val="22"/>
        </w:rPr>
        <w:t xml:space="preserve"> </w:t>
      </w:r>
      <w:r w:rsidR="00FC57FE">
        <w:rPr>
          <w:rFonts w:ascii="TimesNewRomanPSMT" w:hAnsi="TimesNewRomanPSMT"/>
          <w:sz w:val="22"/>
          <w:szCs w:val="22"/>
        </w:rPr>
        <w:t>1–2 pm; by appointment</w:t>
      </w:r>
    </w:p>
    <w:p w14:paraId="571DB5C9" w14:textId="77777777" w:rsidR="0073291C" w:rsidRPr="000E2776" w:rsidRDefault="0073291C" w:rsidP="00EC3DCB">
      <w:pPr>
        <w:pStyle w:val="NormalWeb"/>
        <w:spacing w:before="0" w:beforeAutospacing="0" w:after="0" w:afterAutospacing="0"/>
      </w:pPr>
    </w:p>
    <w:p w14:paraId="506B3427" w14:textId="3278D414" w:rsidR="0073291C" w:rsidRPr="000E2776" w:rsidRDefault="0073291C" w:rsidP="0073291C">
      <w:pPr>
        <w:rPr>
          <w:b/>
          <w:bCs/>
          <w:color w:val="000000"/>
        </w:rPr>
      </w:pPr>
      <w:r w:rsidRPr="000E2776">
        <w:rPr>
          <w:b/>
          <w:bCs/>
          <w:color w:val="000000"/>
        </w:rPr>
        <w:t>Course Description</w:t>
      </w:r>
    </w:p>
    <w:p w14:paraId="463C608B" w14:textId="354CABEB" w:rsidR="0073291C" w:rsidRPr="000E2776" w:rsidRDefault="0073291C" w:rsidP="0073291C">
      <w:pPr>
        <w:rPr>
          <w:color w:val="000000"/>
        </w:rPr>
      </w:pPr>
      <w:r w:rsidRPr="000E2776">
        <w:rPr>
          <w:color w:val="000000"/>
        </w:rPr>
        <w:t>In this course we will examine Kant’s</w:t>
      </w:r>
      <w:r w:rsidRPr="000E2776">
        <w:rPr>
          <w:rStyle w:val="apple-converted-space"/>
          <w:color w:val="000000"/>
        </w:rPr>
        <w:t> </w:t>
      </w:r>
      <w:r w:rsidRPr="000E2776">
        <w:rPr>
          <w:i/>
          <w:iCs/>
          <w:color w:val="000000"/>
        </w:rPr>
        <w:t>Critique of the Power of Judgment</w:t>
      </w:r>
      <w:r w:rsidRPr="000E2776">
        <w:rPr>
          <w:color w:val="000000"/>
        </w:rPr>
        <w:t>, an influential work of philosophy written in 1790. The first part of the</w:t>
      </w:r>
      <w:r w:rsidRPr="000E2776">
        <w:rPr>
          <w:rStyle w:val="apple-converted-space"/>
          <w:color w:val="000000"/>
        </w:rPr>
        <w:t> </w:t>
      </w:r>
      <w:r w:rsidRPr="000E2776">
        <w:rPr>
          <w:i/>
          <w:iCs/>
          <w:color w:val="000000"/>
        </w:rPr>
        <w:t>Critique</w:t>
      </w:r>
      <w:r w:rsidRPr="000E2776">
        <w:rPr>
          <w:rStyle w:val="apple-converted-space"/>
          <w:i/>
          <w:iCs/>
          <w:color w:val="000000"/>
        </w:rPr>
        <w:t> </w:t>
      </w:r>
      <w:r w:rsidRPr="000E2776">
        <w:rPr>
          <w:color w:val="000000"/>
        </w:rPr>
        <w:t>addresses aesthetics; the second part addresses biology. Through reading the primary text and some secondary literature, we will come to understand why Kant chose to focus specifically on aesthetics and biology as objects of philosophical inquiry that could not be subsumed under his previous theoretical and practical philosophy. This class will prepare you to understand later developments that were in large part inspired by this work: the immediate reception of this </w:t>
      </w:r>
      <w:r w:rsidRPr="000E2776">
        <w:rPr>
          <w:i/>
          <w:iCs/>
          <w:color w:val="000000"/>
        </w:rPr>
        <w:t>Critique</w:t>
      </w:r>
      <w:r w:rsidRPr="000E2776">
        <w:rPr>
          <w:color w:val="000000"/>
        </w:rPr>
        <w:t> and the philosophical movements of German Idealism and Romanticism, the development of aesthetics as a field of study, the 19th century biological revolution, and the development of phenomenology.</w:t>
      </w:r>
    </w:p>
    <w:p w14:paraId="4ACD0D98" w14:textId="77777777" w:rsidR="0073291C" w:rsidRDefault="0073291C" w:rsidP="0073291C"/>
    <w:p w14:paraId="0EE32F50" w14:textId="1E12ABBB" w:rsidR="000E2776" w:rsidRPr="000E2776" w:rsidRDefault="00EC3DCB" w:rsidP="00EC3DCB">
      <w:pPr>
        <w:pStyle w:val="NormalWeb"/>
        <w:spacing w:before="0" w:beforeAutospacing="0" w:after="0" w:afterAutospacing="0"/>
        <w:rPr>
          <w:rFonts w:ascii="TimesNewRomanPS" w:hAnsi="TimesNewRomanPS"/>
          <w:b/>
          <w:bCs/>
        </w:rPr>
      </w:pPr>
      <w:r w:rsidRPr="000E2776">
        <w:rPr>
          <w:rFonts w:ascii="TimesNewRomanPS" w:hAnsi="TimesNewRomanPS"/>
          <w:b/>
          <w:bCs/>
        </w:rPr>
        <w:t>Required Text</w:t>
      </w:r>
    </w:p>
    <w:p w14:paraId="278ACD65" w14:textId="5F60809B" w:rsidR="000E2776" w:rsidRDefault="00EC3DCB" w:rsidP="0073291C">
      <w:pPr>
        <w:pStyle w:val="NormalWeb"/>
        <w:spacing w:before="0" w:beforeAutospacing="0" w:after="0" w:afterAutospacing="0"/>
        <w:rPr>
          <w:rFonts w:ascii="TimesNewRomanPSMT" w:hAnsi="TimesNewRomanPSMT"/>
        </w:rPr>
      </w:pPr>
      <w:r w:rsidRPr="000E2776">
        <w:rPr>
          <w:rFonts w:ascii="TimesNewRomanPSMT" w:hAnsi="TimesNewRomanPSMT"/>
        </w:rPr>
        <w:t xml:space="preserve">Kant, </w:t>
      </w:r>
      <w:r w:rsidR="0073291C" w:rsidRPr="000E2776">
        <w:rPr>
          <w:rFonts w:ascii="TimesNewRomanPS" w:hAnsi="TimesNewRomanPS"/>
          <w:i/>
          <w:iCs/>
        </w:rPr>
        <w:t xml:space="preserve">Critique of the Power of Judgment, </w:t>
      </w:r>
      <w:r w:rsidR="00707D70">
        <w:rPr>
          <w:rFonts w:ascii="TimesNewRomanPS" w:hAnsi="TimesNewRomanPS"/>
        </w:rPr>
        <w:t>t</w:t>
      </w:r>
      <w:r w:rsidR="0073291C" w:rsidRPr="000E2776">
        <w:rPr>
          <w:rFonts w:ascii="TimesNewRomanPS" w:hAnsi="TimesNewRomanPS"/>
        </w:rPr>
        <w:t>rans. Guyer and Matthews</w:t>
      </w:r>
      <w:r w:rsidR="0073291C" w:rsidRPr="000E2776">
        <w:rPr>
          <w:rFonts w:ascii="TimesNewRomanPS" w:hAnsi="TimesNewRomanPS"/>
          <w:i/>
          <w:iCs/>
        </w:rPr>
        <w:t>.</w:t>
      </w:r>
      <w:r w:rsidRPr="000E2776">
        <w:rPr>
          <w:rFonts w:ascii="TimesNewRomanPSMT" w:hAnsi="TimesNewRomanPSMT"/>
        </w:rPr>
        <w:t xml:space="preserve"> Cambridge University </w:t>
      </w:r>
    </w:p>
    <w:p w14:paraId="49D155B7" w14:textId="72E8ED4B" w:rsidR="0073291C" w:rsidRPr="000E2776" w:rsidRDefault="00EC3DCB" w:rsidP="000E2776">
      <w:pPr>
        <w:pStyle w:val="NormalWeb"/>
        <w:spacing w:before="0" w:beforeAutospacing="0" w:after="0" w:afterAutospacing="0"/>
        <w:ind w:firstLine="720"/>
        <w:rPr>
          <w:rFonts w:ascii="TimesNewRomanPSMT" w:hAnsi="TimesNewRomanPSMT"/>
        </w:rPr>
      </w:pPr>
      <w:r w:rsidRPr="000E2776">
        <w:rPr>
          <w:rFonts w:ascii="TimesNewRomanPSMT" w:hAnsi="TimesNewRomanPSMT"/>
        </w:rPr>
        <w:t>Press</w:t>
      </w:r>
      <w:r w:rsidR="00707D70">
        <w:rPr>
          <w:rFonts w:ascii="TimesNewRomanPSMT" w:hAnsi="TimesNewRomanPSMT"/>
        </w:rPr>
        <w:t>:</w:t>
      </w:r>
      <w:r w:rsidRPr="000E2776">
        <w:rPr>
          <w:rFonts w:ascii="TimesNewRomanPSMT" w:hAnsi="TimesNewRomanPSMT"/>
        </w:rPr>
        <w:t xml:space="preserve"> </w:t>
      </w:r>
      <w:r w:rsidR="0073291C" w:rsidRPr="000E2776">
        <w:rPr>
          <w:rFonts w:ascii="TimesNewRomanPSMT" w:hAnsi="TimesNewRomanPSMT"/>
        </w:rPr>
        <w:t>2000</w:t>
      </w:r>
      <w:r w:rsidRPr="000E2776">
        <w:rPr>
          <w:rFonts w:ascii="TimesNewRomanPSMT" w:hAnsi="TimesNewRomanPSMT"/>
        </w:rPr>
        <w:t xml:space="preserve">. </w:t>
      </w:r>
      <w:r w:rsidRPr="000E2776">
        <w:rPr>
          <w:rFonts w:ascii="TimesNewRomanPSMT" w:hAnsi="TimesNewRomanPSMT"/>
        </w:rPr>
        <w:br/>
      </w:r>
    </w:p>
    <w:p w14:paraId="1F857D1A" w14:textId="77777777" w:rsidR="00EC3DCB" w:rsidRPr="000E2776" w:rsidRDefault="00EC3DCB" w:rsidP="00EC3DCB">
      <w:pPr>
        <w:pStyle w:val="NormalWeb"/>
        <w:spacing w:before="0" w:beforeAutospacing="0" w:after="0" w:afterAutospacing="0"/>
      </w:pPr>
      <w:r w:rsidRPr="000E2776">
        <w:rPr>
          <w:rFonts w:ascii="TimesNewRomanPS" w:hAnsi="TimesNewRomanPS"/>
          <w:b/>
          <w:bCs/>
        </w:rPr>
        <w:t xml:space="preserve">Grades/Assignments: </w:t>
      </w:r>
    </w:p>
    <w:p w14:paraId="5F1D1972" w14:textId="7078812A" w:rsidR="00EC3DCB" w:rsidRPr="000E2776" w:rsidRDefault="00EC3DCB" w:rsidP="00EC3DCB">
      <w:pPr>
        <w:pStyle w:val="NormalWeb"/>
        <w:spacing w:before="0" w:beforeAutospacing="0" w:after="0" w:afterAutospacing="0"/>
        <w:rPr>
          <w:rFonts w:ascii="TimesNewRomanPSMT" w:hAnsi="TimesNewRomanPSMT"/>
        </w:rPr>
      </w:pPr>
      <w:r w:rsidRPr="000E2776">
        <w:rPr>
          <w:rFonts w:ascii="TimesNewRomanPSMT" w:hAnsi="TimesNewRomanPSMT"/>
        </w:rPr>
        <w:t>Your grade in this class will be based on two class presentations on the reading (1</w:t>
      </w:r>
      <w:r w:rsidR="00E976E2">
        <w:rPr>
          <w:rFonts w:ascii="TimesNewRomanPSMT" w:hAnsi="TimesNewRomanPSMT"/>
        </w:rPr>
        <w:t>2.</w:t>
      </w:r>
      <w:r w:rsidRPr="000E2776">
        <w:rPr>
          <w:rFonts w:ascii="TimesNewRomanPSMT" w:hAnsi="TimesNewRomanPSMT"/>
        </w:rPr>
        <w:t>5% each), one short paper (25%) and a final paper (</w:t>
      </w:r>
      <w:r w:rsidR="00E976E2">
        <w:rPr>
          <w:rFonts w:ascii="TimesNewRomanPSMT" w:hAnsi="TimesNewRomanPSMT"/>
        </w:rPr>
        <w:t>50</w:t>
      </w:r>
      <w:r w:rsidRPr="000E2776">
        <w:rPr>
          <w:rFonts w:ascii="TimesNewRomanPSMT" w:hAnsi="TimesNewRomanPSMT"/>
        </w:rPr>
        <w:t xml:space="preserve">%), due May </w:t>
      </w:r>
      <w:r w:rsidR="00B80ABA" w:rsidRPr="000E2776">
        <w:rPr>
          <w:rFonts w:ascii="TimesNewRomanPSMT" w:hAnsi="TimesNewRomanPSMT"/>
        </w:rPr>
        <w:t>6</w:t>
      </w:r>
      <w:r w:rsidR="0073291C" w:rsidRPr="000E2776">
        <w:rPr>
          <w:rFonts w:ascii="TimesNewRomanPSMT" w:hAnsi="TimesNewRomanPSMT"/>
        </w:rPr>
        <w:t>th</w:t>
      </w:r>
      <w:r w:rsidRPr="000E2776">
        <w:rPr>
          <w:rFonts w:ascii="TimesNewRomanPSMT" w:hAnsi="TimesNewRomanPSMT"/>
        </w:rPr>
        <w:t xml:space="preserve">. I reserve the right to reduce a grade </w:t>
      </w:r>
      <w:r w:rsidR="00FC57FE">
        <w:rPr>
          <w:rFonts w:ascii="TimesNewRomanPSMT" w:hAnsi="TimesNewRomanPSMT"/>
        </w:rPr>
        <w:t>significantly for excessive absences</w:t>
      </w:r>
      <w:r w:rsidRPr="000E2776">
        <w:rPr>
          <w:rFonts w:ascii="TimesNewRomanPSMT" w:hAnsi="TimesNewRomanPSMT"/>
        </w:rPr>
        <w:t xml:space="preserve">. </w:t>
      </w:r>
    </w:p>
    <w:p w14:paraId="60383B14" w14:textId="77777777" w:rsidR="0073291C" w:rsidRPr="000E2776" w:rsidRDefault="0073291C" w:rsidP="00EC3DCB">
      <w:pPr>
        <w:pStyle w:val="NormalWeb"/>
        <w:spacing w:before="0" w:beforeAutospacing="0" w:after="0" w:afterAutospacing="0"/>
      </w:pPr>
    </w:p>
    <w:p w14:paraId="7A6623CB" w14:textId="0EAC2E42" w:rsidR="00EC3DCB" w:rsidRPr="000E2776" w:rsidRDefault="00EC3DCB" w:rsidP="00EC3DCB">
      <w:pPr>
        <w:pStyle w:val="NormalWeb"/>
        <w:spacing w:before="0" w:beforeAutospacing="0" w:after="0" w:afterAutospacing="0"/>
        <w:rPr>
          <w:rFonts w:ascii="TimesNewRomanPSMT" w:hAnsi="TimesNewRomanPSMT"/>
        </w:rPr>
      </w:pPr>
      <w:r w:rsidRPr="000E2776">
        <w:rPr>
          <w:rFonts w:ascii="TimesNewRomanPS" w:hAnsi="TimesNewRomanPS"/>
          <w:i/>
          <w:iCs/>
        </w:rPr>
        <w:t xml:space="preserve">Presentations: </w:t>
      </w:r>
      <w:r w:rsidRPr="000E2776">
        <w:rPr>
          <w:rFonts w:ascii="TimesNewRomanPSMT" w:hAnsi="TimesNewRomanPSMT"/>
        </w:rPr>
        <w:t xml:space="preserve">You will sign up to present on </w:t>
      </w:r>
      <w:r w:rsidR="006A2915">
        <w:rPr>
          <w:rFonts w:ascii="TimesNewRomanPSMT" w:hAnsi="TimesNewRomanPSMT"/>
        </w:rPr>
        <w:t>two</w:t>
      </w:r>
      <w:r w:rsidRPr="000E2776">
        <w:rPr>
          <w:rFonts w:ascii="TimesNewRomanPSMT" w:hAnsi="TimesNewRomanPSMT"/>
        </w:rPr>
        <w:t xml:space="preserve"> of the readings. These presentations should be approximately 5-10 minutes long, with the presenter opening up a discussion about the material following the presentation. You should have a handout, no longer than a single sheet of paper, front and back. Do not summarize the reading, but rather, draw attention to a particular theme of the reading and discuss or problematize that theme. </w:t>
      </w:r>
    </w:p>
    <w:p w14:paraId="61D761C9" w14:textId="77777777" w:rsidR="0073291C" w:rsidRPr="000E2776" w:rsidRDefault="0073291C" w:rsidP="00EC3DCB">
      <w:pPr>
        <w:pStyle w:val="NormalWeb"/>
        <w:spacing w:before="0" w:beforeAutospacing="0" w:after="0" w:afterAutospacing="0"/>
      </w:pPr>
    </w:p>
    <w:p w14:paraId="3B782CD7" w14:textId="41E9A812" w:rsidR="00EC3DCB" w:rsidRPr="000E2776" w:rsidRDefault="00EC3DCB" w:rsidP="00EC3DCB">
      <w:pPr>
        <w:pStyle w:val="NormalWeb"/>
        <w:spacing w:before="0" w:beforeAutospacing="0" w:after="0" w:afterAutospacing="0"/>
        <w:rPr>
          <w:rFonts w:ascii="TimesNewRomanPSMT" w:hAnsi="TimesNewRomanPSMT"/>
        </w:rPr>
      </w:pPr>
      <w:r w:rsidRPr="000E2776">
        <w:rPr>
          <w:rFonts w:ascii="TimesNewRomanPS" w:hAnsi="TimesNewRomanPS"/>
          <w:i/>
          <w:iCs/>
        </w:rPr>
        <w:t xml:space="preserve">Short paper: </w:t>
      </w:r>
      <w:r w:rsidRPr="000E2776">
        <w:rPr>
          <w:rFonts w:ascii="TimesNewRomanPSMT" w:hAnsi="TimesNewRomanPSMT"/>
        </w:rPr>
        <w:t>Your short paper will be due one week following the presentation of your choice and will</w:t>
      </w:r>
      <w:r w:rsidR="000E5774">
        <w:rPr>
          <w:rFonts w:ascii="TimesNewRomanPSMT" w:hAnsi="TimesNewRomanPSMT"/>
        </w:rPr>
        <w:t xml:space="preserve"> typically</w:t>
      </w:r>
      <w:r w:rsidRPr="000E2776">
        <w:rPr>
          <w:rFonts w:ascii="TimesNewRomanPSMT" w:hAnsi="TimesNewRomanPSMT"/>
        </w:rPr>
        <w:t xml:space="preserve"> be on the topic of your presentation. It will be approximately 4</w:t>
      </w:r>
      <w:r w:rsidR="000E5774">
        <w:rPr>
          <w:rFonts w:ascii="TimesNewRomanPSMT" w:hAnsi="TimesNewRomanPSMT"/>
        </w:rPr>
        <w:t>-5</w:t>
      </w:r>
      <w:r w:rsidRPr="000E2776">
        <w:rPr>
          <w:rFonts w:ascii="TimesNewRomanPSMT" w:hAnsi="TimesNewRomanPSMT"/>
        </w:rPr>
        <w:t xml:space="preserve"> pages long. If you would prefer to write on some other topic, that will be fine, just talk to me and we can arrange something. The paper should be argumentative and textually-</w:t>
      </w:r>
      <w:proofErr w:type="gramStart"/>
      <w:r w:rsidRPr="000E2776">
        <w:rPr>
          <w:rFonts w:ascii="TimesNewRomanPSMT" w:hAnsi="TimesNewRomanPSMT"/>
        </w:rPr>
        <w:t>based;</w:t>
      </w:r>
      <w:proofErr w:type="gramEnd"/>
      <w:r w:rsidRPr="000E2776">
        <w:rPr>
          <w:rFonts w:ascii="TimesNewRomanPSMT" w:hAnsi="TimesNewRomanPSMT"/>
        </w:rPr>
        <w:t xml:space="preserve"> i.e., it should have a clear, substantive thesis, and draw primarily on the primary text for support. It may take the form of arguing for a particular interpretation of Kant, or it may take the form of defending or refuting a particular view put forth by Kant. </w:t>
      </w:r>
    </w:p>
    <w:p w14:paraId="10463418" w14:textId="77777777" w:rsidR="0073291C" w:rsidRPr="000E2776" w:rsidRDefault="0073291C" w:rsidP="00EC3DCB">
      <w:pPr>
        <w:pStyle w:val="NormalWeb"/>
        <w:spacing w:before="0" w:beforeAutospacing="0" w:after="0" w:afterAutospacing="0"/>
      </w:pPr>
    </w:p>
    <w:p w14:paraId="447FAC2E" w14:textId="49B536FB" w:rsidR="0073291C" w:rsidRPr="00E976E2" w:rsidRDefault="00EC3DCB" w:rsidP="00EC3DCB">
      <w:pPr>
        <w:pStyle w:val="NormalWeb"/>
        <w:spacing w:before="0" w:beforeAutospacing="0" w:after="0" w:afterAutospacing="0"/>
        <w:rPr>
          <w:rFonts w:ascii="TimesNewRomanPSMT" w:hAnsi="TimesNewRomanPSMT"/>
        </w:rPr>
      </w:pPr>
      <w:r w:rsidRPr="000E2776">
        <w:rPr>
          <w:rFonts w:ascii="TimesNewRomanPS" w:hAnsi="TimesNewRomanPS"/>
          <w:i/>
          <w:iCs/>
        </w:rPr>
        <w:t xml:space="preserve">Long paper: </w:t>
      </w:r>
      <w:r w:rsidRPr="000E2776">
        <w:rPr>
          <w:rFonts w:ascii="TimesNewRomanPSMT" w:hAnsi="TimesNewRomanPSMT"/>
        </w:rPr>
        <w:t>Your longer paper may expand on this shorter paper, or it may be entirely independent. The longer paper should engage with relevant secondary literature. It should be approximately 12 pages long</w:t>
      </w:r>
      <w:r w:rsidR="00C12E42">
        <w:rPr>
          <w:rFonts w:ascii="TimesNewRomanPSMT" w:hAnsi="TimesNewRomanPSMT"/>
        </w:rPr>
        <w:t>, but can be longer if necessary</w:t>
      </w:r>
      <w:r w:rsidRPr="000E2776">
        <w:rPr>
          <w:rFonts w:ascii="TimesNewRomanPSMT" w:hAnsi="TimesNewRomanPSMT"/>
        </w:rPr>
        <w:t xml:space="preserve">. I suggest you speak with me about your topic well in advance of the due date, and also that you submit your paper to me for feedback. I will give feedback on any drafts received by April </w:t>
      </w:r>
      <w:r w:rsidR="00B57C43">
        <w:rPr>
          <w:rFonts w:ascii="TimesNewRomanPSMT" w:hAnsi="TimesNewRomanPSMT"/>
        </w:rPr>
        <w:t>18th</w:t>
      </w:r>
      <w:r w:rsidRPr="000E2776">
        <w:rPr>
          <w:rFonts w:ascii="TimesNewRomanPSMT" w:hAnsi="TimesNewRomanPSMT"/>
        </w:rPr>
        <w:t xml:space="preserve">. </w:t>
      </w:r>
    </w:p>
    <w:p w14:paraId="6793DE1A" w14:textId="13C80470" w:rsidR="00EC3DCB" w:rsidRPr="00B57C43" w:rsidRDefault="00EC3DCB" w:rsidP="004F0438">
      <w:pPr>
        <w:pStyle w:val="NormalWeb"/>
        <w:tabs>
          <w:tab w:val="left" w:pos="4320"/>
        </w:tabs>
        <w:spacing w:before="0" w:beforeAutospacing="0" w:after="0" w:afterAutospacing="0"/>
        <w:rPr>
          <w:sz w:val="22"/>
          <w:szCs w:val="22"/>
        </w:rPr>
      </w:pPr>
      <w:r w:rsidRPr="00B57C43">
        <w:rPr>
          <w:rFonts w:ascii="TimesNewRomanPS" w:hAnsi="TimesNewRomanPS"/>
          <w:b/>
          <w:bCs/>
          <w:sz w:val="22"/>
          <w:szCs w:val="22"/>
        </w:rPr>
        <w:lastRenderedPageBreak/>
        <w:t>WEEK 1: January 1</w:t>
      </w:r>
      <w:r w:rsidR="00735A00" w:rsidRPr="00B57C43">
        <w:rPr>
          <w:rFonts w:ascii="TimesNewRomanPS" w:hAnsi="TimesNewRomanPS"/>
          <w:b/>
          <w:bCs/>
          <w:sz w:val="22"/>
          <w:szCs w:val="22"/>
        </w:rPr>
        <w:t>9</w:t>
      </w:r>
      <w:r w:rsidRPr="00B57C43">
        <w:rPr>
          <w:rFonts w:ascii="TimesNewRomanPS" w:hAnsi="TimesNewRomanPS"/>
          <w:b/>
          <w:bCs/>
          <w:sz w:val="22"/>
          <w:szCs w:val="22"/>
        </w:rPr>
        <w:t xml:space="preserve"> </w:t>
      </w:r>
      <w:r w:rsidR="004F0438" w:rsidRPr="00B57C43">
        <w:rPr>
          <w:rFonts w:ascii="TimesNewRomanPS" w:hAnsi="TimesNewRomanPS"/>
          <w:b/>
          <w:bCs/>
          <w:sz w:val="22"/>
          <w:szCs w:val="22"/>
        </w:rPr>
        <w:tab/>
      </w:r>
    </w:p>
    <w:p w14:paraId="2EBC8701" w14:textId="275D3100" w:rsidR="00EC3DCB" w:rsidRPr="00B57C43" w:rsidRDefault="00EC3DCB" w:rsidP="004F0438">
      <w:pPr>
        <w:pStyle w:val="NormalWeb"/>
        <w:tabs>
          <w:tab w:val="left" w:pos="4320"/>
        </w:tabs>
        <w:spacing w:before="0" w:beforeAutospacing="0" w:after="0" w:afterAutospacing="0"/>
        <w:rPr>
          <w:rFonts w:ascii="TimesNewRomanPSMT" w:hAnsi="TimesNewRomanPSMT"/>
          <w:sz w:val="22"/>
          <w:szCs w:val="22"/>
        </w:rPr>
      </w:pPr>
      <w:r w:rsidRPr="00B57C43">
        <w:rPr>
          <w:rFonts w:ascii="TimesNewRomanPSMT" w:hAnsi="TimesNewRomanPSMT"/>
          <w:sz w:val="22"/>
          <w:szCs w:val="22"/>
        </w:rPr>
        <w:t>Introduction and Overview</w:t>
      </w:r>
      <w:r w:rsidR="004F0438" w:rsidRPr="00B57C43">
        <w:rPr>
          <w:rFonts w:ascii="TimesNewRomanPSMT" w:hAnsi="TimesNewRomanPSMT"/>
          <w:sz w:val="22"/>
          <w:szCs w:val="22"/>
        </w:rPr>
        <w:tab/>
      </w:r>
      <w:r w:rsidR="00937E0F" w:rsidRPr="00B57C43">
        <w:rPr>
          <w:rFonts w:ascii="TimesNewRomanPSMT" w:hAnsi="TimesNewRomanPSMT"/>
          <w:sz w:val="22"/>
          <w:szCs w:val="22"/>
        </w:rPr>
        <w:t>General b</w:t>
      </w:r>
      <w:r w:rsidR="004F0438" w:rsidRPr="00B57C43">
        <w:rPr>
          <w:rFonts w:ascii="TimesNewRomanPSMT" w:hAnsi="TimesNewRomanPSMT"/>
          <w:sz w:val="22"/>
          <w:szCs w:val="22"/>
        </w:rPr>
        <w:t xml:space="preserve">ackground </w:t>
      </w:r>
      <w:r w:rsidR="00937E0F" w:rsidRPr="00B57C43">
        <w:rPr>
          <w:rFonts w:ascii="TimesNewRomanPSMT" w:hAnsi="TimesNewRomanPSMT"/>
          <w:sz w:val="22"/>
          <w:szCs w:val="22"/>
        </w:rPr>
        <w:t>and terminology</w:t>
      </w:r>
    </w:p>
    <w:p w14:paraId="6DE11267" w14:textId="1CFF163D" w:rsidR="00B57C43" w:rsidRPr="00B57C43" w:rsidRDefault="00B57C43" w:rsidP="00B57C43">
      <w:pPr>
        <w:pStyle w:val="NormalWeb"/>
        <w:numPr>
          <w:ilvl w:val="0"/>
          <w:numId w:val="6"/>
        </w:numPr>
        <w:tabs>
          <w:tab w:val="left" w:pos="4320"/>
        </w:tabs>
        <w:spacing w:before="0" w:beforeAutospacing="0" w:after="0" w:afterAutospacing="0"/>
        <w:rPr>
          <w:rFonts w:ascii="TimesNewRomanPS" w:hAnsi="TimesNewRomanPS"/>
          <w:sz w:val="22"/>
          <w:szCs w:val="22"/>
        </w:rPr>
      </w:pPr>
      <w:r w:rsidRPr="00B57C43">
        <w:rPr>
          <w:sz w:val="22"/>
          <w:szCs w:val="22"/>
        </w:rPr>
        <w:t xml:space="preserve">SEP article “Immanuel Kant” by </w:t>
      </w:r>
      <w:proofErr w:type="spellStart"/>
      <w:r w:rsidRPr="00B57C43">
        <w:rPr>
          <w:sz w:val="22"/>
          <w:szCs w:val="22"/>
        </w:rPr>
        <w:t>Rohlf</w:t>
      </w:r>
      <w:proofErr w:type="spellEnd"/>
      <w:r>
        <w:rPr>
          <w:sz w:val="22"/>
          <w:szCs w:val="22"/>
        </w:rPr>
        <w:t xml:space="preserve"> (</w:t>
      </w:r>
      <w:hyperlink r:id="rId6" w:history="1">
        <w:r w:rsidRPr="00076134">
          <w:rPr>
            <w:rStyle w:val="Hyperlink"/>
            <w:rFonts w:ascii="TimesNewRomanPSMT" w:hAnsi="TimesNewRomanPSMT"/>
            <w:sz w:val="22"/>
            <w:szCs w:val="22"/>
          </w:rPr>
          <w:t>https://plato.stanford.edu/entries/kant/</w:t>
        </w:r>
      </w:hyperlink>
      <w:r w:rsidRPr="00B57C43">
        <w:rPr>
          <w:sz w:val="22"/>
          <w:szCs w:val="22"/>
        </w:rPr>
        <w:t>)</w:t>
      </w:r>
    </w:p>
    <w:p w14:paraId="1B76A855" w14:textId="72E0859B" w:rsidR="00245AB6" w:rsidRPr="00B57C43" w:rsidRDefault="00FC57FE" w:rsidP="00B57C43">
      <w:pPr>
        <w:pStyle w:val="NormalWeb"/>
        <w:numPr>
          <w:ilvl w:val="0"/>
          <w:numId w:val="6"/>
        </w:numPr>
        <w:tabs>
          <w:tab w:val="left" w:pos="4320"/>
        </w:tabs>
        <w:spacing w:before="0" w:beforeAutospacing="0" w:after="0" w:afterAutospacing="0"/>
        <w:rPr>
          <w:rFonts w:ascii="TimesNewRomanPSMT" w:hAnsi="TimesNewRomanPSMT"/>
          <w:sz w:val="22"/>
          <w:szCs w:val="22"/>
        </w:rPr>
      </w:pPr>
      <w:r>
        <w:rPr>
          <w:rFonts w:ascii="TimesNewRomanPS" w:hAnsi="TimesNewRomanPS"/>
          <w:sz w:val="22"/>
          <w:szCs w:val="22"/>
        </w:rPr>
        <w:t xml:space="preserve">Selections from the </w:t>
      </w:r>
      <w:r w:rsidR="00B57C43" w:rsidRPr="00B57C43">
        <w:rPr>
          <w:rFonts w:ascii="TimesNewRomanPS" w:hAnsi="TimesNewRomanPS"/>
          <w:sz w:val="22"/>
          <w:szCs w:val="22"/>
        </w:rPr>
        <w:t>Third Antinomy (</w:t>
      </w:r>
      <w:r>
        <w:rPr>
          <w:rFonts w:ascii="TimesNewRomanPS" w:hAnsi="TimesNewRomanPS"/>
          <w:sz w:val="22"/>
          <w:szCs w:val="22"/>
        </w:rPr>
        <w:t xml:space="preserve">from </w:t>
      </w:r>
      <w:r>
        <w:rPr>
          <w:rFonts w:ascii="TimesNewRomanPS" w:hAnsi="TimesNewRomanPS"/>
          <w:i/>
          <w:iCs/>
          <w:sz w:val="22"/>
          <w:szCs w:val="22"/>
        </w:rPr>
        <w:t xml:space="preserve">CPR </w:t>
      </w:r>
      <w:r w:rsidR="00B57C43">
        <w:rPr>
          <w:rFonts w:ascii="TimesNewRomanPS" w:hAnsi="TimesNewRomanPS"/>
          <w:sz w:val="22"/>
          <w:szCs w:val="22"/>
        </w:rPr>
        <w:t>A444/B472</w:t>
      </w:r>
      <w:r w:rsidR="00B57C43">
        <w:rPr>
          <w:rFonts w:ascii="TimesNewRomanPS" w:hAnsi="TimesNewRomanPS"/>
          <w:sz w:val="22"/>
          <w:szCs w:val="22"/>
        </w:rPr>
        <w:softHyphen/>
        <w:t>–A558/B586</w:t>
      </w:r>
      <w:r w:rsidR="00B57C43" w:rsidRPr="00B57C43">
        <w:rPr>
          <w:rFonts w:ascii="TimesNewRomanPS" w:hAnsi="TimesNewRomanPS"/>
          <w:sz w:val="22"/>
          <w:szCs w:val="22"/>
        </w:rPr>
        <w:t xml:space="preserve">) </w:t>
      </w:r>
    </w:p>
    <w:p w14:paraId="25C78D75" w14:textId="0EAFB3CB" w:rsidR="00B80ABA" w:rsidRPr="0083219B" w:rsidRDefault="00B80ABA" w:rsidP="004F0438">
      <w:pPr>
        <w:pStyle w:val="NormalWeb"/>
        <w:tabs>
          <w:tab w:val="left" w:pos="4320"/>
        </w:tabs>
        <w:spacing w:before="0" w:beforeAutospacing="0" w:after="0" w:afterAutospacing="0"/>
        <w:rPr>
          <w:sz w:val="22"/>
          <w:szCs w:val="22"/>
        </w:rPr>
      </w:pPr>
    </w:p>
    <w:p w14:paraId="1193F8FF" w14:textId="6FDDA499"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WEEK 2: January 2</w:t>
      </w:r>
      <w:r w:rsidR="00735A00" w:rsidRPr="0083219B">
        <w:rPr>
          <w:rFonts w:ascii="TimesNewRomanPS" w:hAnsi="TimesNewRomanPS"/>
          <w:b/>
          <w:bCs/>
          <w:sz w:val="22"/>
          <w:szCs w:val="22"/>
        </w:rPr>
        <w:t>6</w:t>
      </w:r>
    </w:p>
    <w:p w14:paraId="25008216" w14:textId="70D1019C" w:rsidR="0083219B" w:rsidRPr="0083219B" w:rsidRDefault="0083219B" w:rsidP="004F0438">
      <w:pPr>
        <w:pStyle w:val="NormalWeb"/>
        <w:tabs>
          <w:tab w:val="left" w:pos="4320"/>
        </w:tabs>
        <w:spacing w:before="0" w:beforeAutospacing="0" w:after="0" w:afterAutospacing="0"/>
        <w:rPr>
          <w:sz w:val="22"/>
          <w:szCs w:val="22"/>
        </w:rPr>
      </w:pPr>
      <w:r w:rsidRPr="0083219B">
        <w:rPr>
          <w:rFonts w:ascii="TimesNewRomanPS" w:hAnsi="TimesNewRomanPS"/>
          <w:sz w:val="22"/>
          <w:szCs w:val="22"/>
        </w:rPr>
        <w:t>First Introduction</w:t>
      </w:r>
      <w:r w:rsidR="00D900F1">
        <w:rPr>
          <w:rFonts w:ascii="TimesNewRomanPS" w:hAnsi="TimesNewRomanPS"/>
          <w:sz w:val="22"/>
          <w:szCs w:val="22"/>
        </w:rPr>
        <w:t xml:space="preserve"> (pp. 3–51)</w:t>
      </w:r>
      <w:r w:rsidR="004F0438">
        <w:rPr>
          <w:rFonts w:ascii="TimesNewRomanPS" w:hAnsi="TimesNewRomanPS"/>
          <w:sz w:val="22"/>
          <w:szCs w:val="22"/>
        </w:rPr>
        <w:tab/>
      </w:r>
      <w:r w:rsidR="00CE1D1C">
        <w:rPr>
          <w:rFonts w:ascii="TimesNewRomanPS" w:hAnsi="TimesNewRomanPS"/>
          <w:sz w:val="22"/>
          <w:szCs w:val="22"/>
        </w:rPr>
        <w:t>N</w:t>
      </w:r>
      <w:r w:rsidR="004F0438">
        <w:rPr>
          <w:rFonts w:ascii="TimesNewRomanPS" w:hAnsi="TimesNewRomanPS"/>
          <w:sz w:val="22"/>
          <w:szCs w:val="22"/>
        </w:rPr>
        <w:t>ature and freedom</w:t>
      </w:r>
      <w:r w:rsidR="00CE1D1C">
        <w:rPr>
          <w:rFonts w:ascii="TimesNewRomanPS" w:hAnsi="TimesNewRomanPS"/>
          <w:sz w:val="22"/>
          <w:szCs w:val="22"/>
        </w:rPr>
        <w:t xml:space="preserve">; </w:t>
      </w:r>
      <w:r w:rsidR="00756E17">
        <w:rPr>
          <w:rFonts w:ascii="TimesNewRomanPS" w:hAnsi="TimesNewRomanPS"/>
          <w:sz w:val="22"/>
          <w:szCs w:val="22"/>
        </w:rPr>
        <w:t>reflecting judgment</w:t>
      </w:r>
      <w:r w:rsidR="00CE1D1C">
        <w:rPr>
          <w:rFonts w:ascii="TimesNewRomanPS" w:hAnsi="TimesNewRomanPS"/>
          <w:sz w:val="22"/>
          <w:szCs w:val="22"/>
        </w:rPr>
        <w:t xml:space="preserve"> </w:t>
      </w:r>
    </w:p>
    <w:p w14:paraId="25822725" w14:textId="77777777" w:rsidR="00B80ABA" w:rsidRPr="0083219B" w:rsidRDefault="00B80ABA" w:rsidP="004F0438">
      <w:pPr>
        <w:pStyle w:val="NormalWeb"/>
        <w:tabs>
          <w:tab w:val="left" w:pos="4320"/>
        </w:tabs>
        <w:spacing w:before="0" w:beforeAutospacing="0" w:after="0" w:afterAutospacing="0"/>
        <w:rPr>
          <w:sz w:val="22"/>
          <w:szCs w:val="22"/>
        </w:rPr>
      </w:pPr>
    </w:p>
    <w:p w14:paraId="7D443649" w14:textId="32EE0011" w:rsidR="00CE4B03" w:rsidRPr="0083219B" w:rsidRDefault="00EC3DCB" w:rsidP="004F0438">
      <w:pPr>
        <w:pStyle w:val="NormalWeb"/>
        <w:tabs>
          <w:tab w:val="left" w:pos="4320"/>
        </w:tabs>
        <w:spacing w:before="0" w:beforeAutospacing="0" w:after="0" w:afterAutospacing="0"/>
        <w:rPr>
          <w:sz w:val="22"/>
          <w:szCs w:val="22"/>
        </w:rPr>
      </w:pPr>
      <w:r w:rsidRPr="0083219B">
        <w:rPr>
          <w:rFonts w:ascii="TimesNewRomanPS" w:hAnsi="TimesNewRomanPS"/>
          <w:b/>
          <w:bCs/>
          <w:sz w:val="22"/>
          <w:szCs w:val="22"/>
        </w:rPr>
        <w:t xml:space="preserve">WEEK 3: </w:t>
      </w:r>
      <w:r w:rsidR="00735A00" w:rsidRPr="0083219B">
        <w:rPr>
          <w:rFonts w:ascii="TimesNewRomanPS" w:hAnsi="TimesNewRomanPS"/>
          <w:b/>
          <w:bCs/>
          <w:sz w:val="22"/>
          <w:szCs w:val="22"/>
        </w:rPr>
        <w:t>February 2</w:t>
      </w:r>
      <w:r w:rsidRPr="0083219B">
        <w:rPr>
          <w:rFonts w:ascii="TimesNewRomanPS" w:hAnsi="TimesNewRomanPS"/>
          <w:b/>
          <w:bCs/>
          <w:sz w:val="22"/>
          <w:szCs w:val="22"/>
        </w:rPr>
        <w:t xml:space="preserve"> </w:t>
      </w:r>
    </w:p>
    <w:p w14:paraId="3A6C6AC1" w14:textId="77777777" w:rsidR="00D900F1" w:rsidRPr="0083219B" w:rsidRDefault="00D900F1" w:rsidP="00D900F1">
      <w:pPr>
        <w:pStyle w:val="NormalWeb"/>
        <w:tabs>
          <w:tab w:val="left" w:pos="4320"/>
        </w:tabs>
        <w:spacing w:before="0" w:beforeAutospacing="0" w:after="0" w:afterAutospacing="0"/>
        <w:rPr>
          <w:sz w:val="22"/>
          <w:szCs w:val="22"/>
        </w:rPr>
      </w:pPr>
      <w:r w:rsidRPr="0083219B">
        <w:rPr>
          <w:i/>
          <w:iCs/>
          <w:sz w:val="22"/>
          <w:szCs w:val="22"/>
        </w:rPr>
        <w:t>COTJ</w:t>
      </w:r>
      <w:r w:rsidRPr="0083219B">
        <w:rPr>
          <w:sz w:val="22"/>
          <w:szCs w:val="22"/>
        </w:rPr>
        <w:t xml:space="preserve"> </w:t>
      </w:r>
      <w:r w:rsidRPr="0083219B">
        <w:rPr>
          <w:i/>
          <w:iCs/>
          <w:sz w:val="22"/>
          <w:szCs w:val="22"/>
        </w:rPr>
        <w:t xml:space="preserve">Analytic </w:t>
      </w:r>
      <w:r>
        <w:rPr>
          <w:sz w:val="22"/>
          <w:szCs w:val="22"/>
        </w:rPr>
        <w:t>§§61-68</w:t>
      </w:r>
      <w:r>
        <w:rPr>
          <w:sz w:val="22"/>
          <w:szCs w:val="22"/>
        </w:rPr>
        <w:tab/>
        <w:t>Natural ends, teleological judgment</w:t>
      </w:r>
    </w:p>
    <w:p w14:paraId="4CE88109" w14:textId="77777777" w:rsidR="00B80ABA" w:rsidRPr="0083219B" w:rsidRDefault="00B80ABA" w:rsidP="004F0438">
      <w:pPr>
        <w:pStyle w:val="NormalWeb"/>
        <w:tabs>
          <w:tab w:val="left" w:pos="4320"/>
        </w:tabs>
        <w:spacing w:before="0" w:beforeAutospacing="0" w:after="0" w:afterAutospacing="0"/>
        <w:rPr>
          <w:sz w:val="22"/>
          <w:szCs w:val="22"/>
        </w:rPr>
      </w:pPr>
    </w:p>
    <w:p w14:paraId="7358B60D" w14:textId="77777777" w:rsidR="00D900F1" w:rsidRDefault="00EC3DCB" w:rsidP="00D900F1">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 xml:space="preserve">WEEK 4: February </w:t>
      </w:r>
      <w:r w:rsidR="00735A00" w:rsidRPr="0083219B">
        <w:rPr>
          <w:rFonts w:ascii="TimesNewRomanPS" w:hAnsi="TimesNewRomanPS"/>
          <w:b/>
          <w:bCs/>
          <w:sz w:val="22"/>
          <w:szCs w:val="22"/>
        </w:rPr>
        <w:t>9</w:t>
      </w:r>
      <w:r w:rsidRPr="0083219B">
        <w:rPr>
          <w:rFonts w:ascii="TimesNewRomanPS" w:hAnsi="TimesNewRomanPS"/>
          <w:b/>
          <w:bCs/>
          <w:sz w:val="22"/>
          <w:szCs w:val="22"/>
        </w:rPr>
        <w:t xml:space="preserve"> </w:t>
      </w:r>
    </w:p>
    <w:p w14:paraId="5107C6C7" w14:textId="64ED0153" w:rsidR="00D900F1" w:rsidRPr="004F0438" w:rsidRDefault="00D900F1" w:rsidP="00D900F1">
      <w:pPr>
        <w:pStyle w:val="NormalWeb"/>
        <w:tabs>
          <w:tab w:val="left" w:pos="4320"/>
        </w:tabs>
        <w:spacing w:before="0" w:beforeAutospacing="0" w:after="0" w:afterAutospacing="0"/>
        <w:rPr>
          <w:rFonts w:ascii="TimesNewRomanPS" w:hAnsi="TimesNewRomanPS"/>
          <w:sz w:val="22"/>
          <w:szCs w:val="22"/>
        </w:rPr>
      </w:pPr>
      <w:r w:rsidRPr="0083219B">
        <w:rPr>
          <w:i/>
          <w:iCs/>
          <w:sz w:val="22"/>
          <w:szCs w:val="22"/>
        </w:rPr>
        <w:t>COTJ</w:t>
      </w:r>
      <w:r w:rsidRPr="0083219B">
        <w:rPr>
          <w:sz w:val="22"/>
          <w:szCs w:val="22"/>
        </w:rPr>
        <w:t xml:space="preserve"> </w:t>
      </w:r>
      <w:r w:rsidRPr="0083219B">
        <w:rPr>
          <w:rFonts w:ascii="TimesNewRomanPS" w:hAnsi="TimesNewRomanPS"/>
          <w:i/>
          <w:iCs/>
          <w:sz w:val="22"/>
          <w:szCs w:val="22"/>
        </w:rPr>
        <w:t xml:space="preserve">Dialectic </w:t>
      </w:r>
      <w:r w:rsidRPr="0083219B">
        <w:rPr>
          <w:rFonts w:ascii="TimesNewRomanPS" w:hAnsi="TimesNewRomanPS"/>
          <w:sz w:val="22"/>
          <w:szCs w:val="22"/>
        </w:rPr>
        <w:t>1</w:t>
      </w:r>
      <w:r>
        <w:rPr>
          <w:rFonts w:ascii="TimesNewRomanPS" w:hAnsi="TimesNewRomanPS"/>
          <w:sz w:val="22"/>
          <w:szCs w:val="22"/>
        </w:rPr>
        <w:t xml:space="preserve"> §§69–75</w:t>
      </w:r>
      <w:r>
        <w:rPr>
          <w:rFonts w:ascii="TimesNewRomanPS" w:hAnsi="TimesNewRomanPS"/>
          <w:sz w:val="22"/>
          <w:szCs w:val="22"/>
        </w:rPr>
        <w:tab/>
        <w:t>Antinomy of teleological judgment</w:t>
      </w:r>
    </w:p>
    <w:p w14:paraId="208CB13B" w14:textId="32619710" w:rsidR="00EC3DCB" w:rsidRPr="0083219B" w:rsidRDefault="00EC3DCB" w:rsidP="004F0438">
      <w:pPr>
        <w:pStyle w:val="NormalWeb"/>
        <w:tabs>
          <w:tab w:val="left" w:pos="4320"/>
        </w:tabs>
        <w:spacing w:before="0" w:beforeAutospacing="0" w:after="0" w:afterAutospacing="0"/>
        <w:rPr>
          <w:sz w:val="22"/>
          <w:szCs w:val="22"/>
        </w:rPr>
      </w:pPr>
    </w:p>
    <w:p w14:paraId="5077D5A9" w14:textId="45CA88F2" w:rsidR="00EC3DC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WEEK 5: February 1</w:t>
      </w:r>
      <w:r w:rsidR="00B80ABA" w:rsidRPr="0083219B">
        <w:rPr>
          <w:rFonts w:ascii="TimesNewRomanPS" w:hAnsi="TimesNewRomanPS"/>
          <w:b/>
          <w:bCs/>
          <w:sz w:val="22"/>
          <w:szCs w:val="22"/>
        </w:rPr>
        <w:t>6</w:t>
      </w:r>
      <w:r w:rsidRPr="0083219B">
        <w:rPr>
          <w:rFonts w:ascii="TimesNewRomanPS" w:hAnsi="TimesNewRomanPS"/>
          <w:b/>
          <w:bCs/>
          <w:sz w:val="22"/>
          <w:szCs w:val="22"/>
        </w:rPr>
        <w:t xml:space="preserve"> </w:t>
      </w:r>
    </w:p>
    <w:p w14:paraId="7BA6C72F" w14:textId="77777777" w:rsidR="00D900F1" w:rsidRPr="0083219B" w:rsidRDefault="00D900F1" w:rsidP="00D900F1">
      <w:pPr>
        <w:pStyle w:val="NormalWeb"/>
        <w:tabs>
          <w:tab w:val="left" w:pos="4320"/>
        </w:tabs>
        <w:spacing w:before="0" w:beforeAutospacing="0" w:after="0" w:afterAutospacing="0"/>
        <w:rPr>
          <w:rFonts w:ascii="TimesNewRomanPS" w:hAnsi="TimesNewRomanPS"/>
          <w:sz w:val="22"/>
          <w:szCs w:val="22"/>
        </w:rPr>
      </w:pPr>
      <w:r w:rsidRPr="0083219B">
        <w:rPr>
          <w:i/>
          <w:iCs/>
          <w:sz w:val="22"/>
          <w:szCs w:val="22"/>
        </w:rPr>
        <w:t>COTJ</w:t>
      </w:r>
      <w:r w:rsidRPr="0083219B">
        <w:rPr>
          <w:sz w:val="22"/>
          <w:szCs w:val="22"/>
        </w:rPr>
        <w:t xml:space="preserve"> </w:t>
      </w:r>
      <w:r w:rsidRPr="0083219B">
        <w:rPr>
          <w:rFonts w:ascii="TimesNewRomanPS" w:hAnsi="TimesNewRomanPS"/>
          <w:i/>
          <w:iCs/>
          <w:sz w:val="22"/>
          <w:szCs w:val="22"/>
        </w:rPr>
        <w:t xml:space="preserve">Dialectic </w:t>
      </w:r>
      <w:r>
        <w:rPr>
          <w:rFonts w:ascii="TimesNewRomanPS" w:hAnsi="TimesNewRomanPS"/>
          <w:sz w:val="22"/>
          <w:szCs w:val="22"/>
        </w:rPr>
        <w:t>2 §§76–77</w:t>
      </w:r>
      <w:r>
        <w:rPr>
          <w:rFonts w:ascii="TimesNewRomanPS" w:hAnsi="TimesNewRomanPS"/>
          <w:sz w:val="22"/>
          <w:szCs w:val="22"/>
        </w:rPr>
        <w:tab/>
        <w:t>God, the intuitive intellect, the supersensible</w:t>
      </w:r>
    </w:p>
    <w:p w14:paraId="4B88B3F8" w14:textId="77777777" w:rsidR="000E2776" w:rsidRPr="0083219B" w:rsidRDefault="000E2776" w:rsidP="004F0438">
      <w:pPr>
        <w:pStyle w:val="NormalWeb"/>
        <w:tabs>
          <w:tab w:val="left" w:pos="4320"/>
        </w:tabs>
        <w:spacing w:before="0" w:beforeAutospacing="0" w:after="0" w:afterAutospacing="0"/>
        <w:rPr>
          <w:rFonts w:ascii="TimesNewRomanPSMT" w:hAnsi="TimesNewRomanPSMT"/>
          <w:sz w:val="22"/>
          <w:szCs w:val="22"/>
        </w:rPr>
      </w:pPr>
    </w:p>
    <w:p w14:paraId="204C9B33" w14:textId="143133EE" w:rsidR="00EC3DCB" w:rsidRPr="0083219B" w:rsidRDefault="00EC3DCB" w:rsidP="004F0438">
      <w:pPr>
        <w:pStyle w:val="NormalWeb"/>
        <w:tabs>
          <w:tab w:val="left" w:pos="4320"/>
        </w:tabs>
        <w:spacing w:before="0" w:beforeAutospacing="0" w:after="0" w:afterAutospacing="0"/>
        <w:rPr>
          <w:sz w:val="22"/>
          <w:szCs w:val="22"/>
        </w:rPr>
      </w:pPr>
      <w:r w:rsidRPr="0083219B">
        <w:rPr>
          <w:rFonts w:ascii="TimesNewRomanPS" w:hAnsi="TimesNewRomanPS"/>
          <w:b/>
          <w:bCs/>
          <w:sz w:val="22"/>
          <w:szCs w:val="22"/>
        </w:rPr>
        <w:t xml:space="preserve">WEEK 6: February </w:t>
      </w:r>
      <w:r w:rsidR="00B80ABA" w:rsidRPr="0083219B">
        <w:rPr>
          <w:rFonts w:ascii="TimesNewRomanPS" w:hAnsi="TimesNewRomanPS"/>
          <w:b/>
          <w:bCs/>
          <w:sz w:val="22"/>
          <w:szCs w:val="22"/>
        </w:rPr>
        <w:t>23</w:t>
      </w:r>
      <w:r w:rsidRPr="0083219B">
        <w:rPr>
          <w:rFonts w:ascii="TimesNewRomanPS" w:hAnsi="TimesNewRomanPS"/>
          <w:b/>
          <w:bCs/>
          <w:sz w:val="22"/>
          <w:szCs w:val="22"/>
        </w:rPr>
        <w:t xml:space="preserve"> </w:t>
      </w:r>
    </w:p>
    <w:p w14:paraId="279B211E" w14:textId="77777777" w:rsidR="00D900F1" w:rsidRPr="0083219B" w:rsidRDefault="00D900F1" w:rsidP="00D900F1">
      <w:pPr>
        <w:pStyle w:val="NormalWeb"/>
        <w:tabs>
          <w:tab w:val="left" w:pos="4320"/>
        </w:tabs>
        <w:spacing w:before="0" w:beforeAutospacing="0" w:after="0" w:afterAutospacing="0"/>
        <w:rPr>
          <w:rFonts w:ascii="TimesNewRomanPS" w:hAnsi="TimesNewRomanPS"/>
          <w:sz w:val="22"/>
          <w:szCs w:val="22"/>
        </w:rPr>
      </w:pPr>
      <w:r w:rsidRPr="0083219B">
        <w:rPr>
          <w:i/>
          <w:iCs/>
          <w:sz w:val="22"/>
          <w:szCs w:val="22"/>
        </w:rPr>
        <w:t>COTJ</w:t>
      </w:r>
      <w:r w:rsidRPr="0083219B">
        <w:rPr>
          <w:sz w:val="22"/>
          <w:szCs w:val="22"/>
        </w:rPr>
        <w:t xml:space="preserve"> </w:t>
      </w:r>
      <w:r w:rsidRPr="0083219B">
        <w:rPr>
          <w:rFonts w:ascii="TimesNewRomanPS" w:hAnsi="TimesNewRomanPS"/>
          <w:i/>
          <w:iCs/>
          <w:sz w:val="22"/>
          <w:szCs w:val="22"/>
        </w:rPr>
        <w:t xml:space="preserve">Dialectic </w:t>
      </w:r>
      <w:r>
        <w:rPr>
          <w:rFonts w:ascii="TimesNewRomanPS" w:hAnsi="TimesNewRomanPS"/>
          <w:sz w:val="22"/>
          <w:szCs w:val="22"/>
        </w:rPr>
        <w:t>3 §78</w:t>
      </w:r>
      <w:r>
        <w:rPr>
          <w:rFonts w:ascii="TimesNewRomanPS" w:hAnsi="TimesNewRomanPS"/>
          <w:sz w:val="22"/>
          <w:szCs w:val="22"/>
        </w:rPr>
        <w:tab/>
        <w:t>Resolution to the Antinomy</w:t>
      </w:r>
    </w:p>
    <w:p w14:paraId="3D54F241" w14:textId="77777777" w:rsidR="006C6D28" w:rsidRPr="0083219B" w:rsidRDefault="006C6D28" w:rsidP="004F0438">
      <w:pPr>
        <w:pStyle w:val="NormalWeb"/>
        <w:tabs>
          <w:tab w:val="left" w:pos="4320"/>
        </w:tabs>
        <w:spacing w:before="0" w:beforeAutospacing="0" w:after="0" w:afterAutospacing="0"/>
        <w:rPr>
          <w:rFonts w:ascii="TimesNewRomanPSMT" w:hAnsi="TimesNewRomanPSMT"/>
          <w:sz w:val="22"/>
          <w:szCs w:val="22"/>
        </w:rPr>
      </w:pPr>
    </w:p>
    <w:p w14:paraId="074C1512" w14:textId="1BD10E0F"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 xml:space="preserve">WEEK 7: </w:t>
      </w:r>
      <w:r w:rsidR="009919F1" w:rsidRPr="0083219B">
        <w:rPr>
          <w:rFonts w:ascii="TimesNewRomanPS" w:hAnsi="TimesNewRomanPS"/>
          <w:b/>
          <w:bCs/>
          <w:sz w:val="22"/>
          <w:szCs w:val="22"/>
        </w:rPr>
        <w:t>March</w:t>
      </w:r>
      <w:r w:rsidR="00B80ABA" w:rsidRPr="0083219B">
        <w:rPr>
          <w:rFonts w:ascii="TimesNewRomanPS" w:hAnsi="TimesNewRomanPS"/>
          <w:b/>
          <w:bCs/>
          <w:sz w:val="22"/>
          <w:szCs w:val="22"/>
        </w:rPr>
        <w:t xml:space="preserve"> </w:t>
      </w:r>
      <w:r w:rsidR="000E2776" w:rsidRPr="0083219B">
        <w:rPr>
          <w:rFonts w:ascii="TimesNewRomanPS" w:hAnsi="TimesNewRomanPS"/>
          <w:b/>
          <w:bCs/>
          <w:sz w:val="22"/>
          <w:szCs w:val="22"/>
        </w:rPr>
        <w:t>2</w:t>
      </w:r>
    </w:p>
    <w:p w14:paraId="29906E44" w14:textId="77777777" w:rsidR="00D900F1" w:rsidRPr="0083219B" w:rsidRDefault="00D900F1" w:rsidP="00D900F1">
      <w:pPr>
        <w:pStyle w:val="NormalWeb"/>
        <w:tabs>
          <w:tab w:val="left" w:pos="4320"/>
        </w:tabs>
        <w:spacing w:before="0" w:beforeAutospacing="0" w:after="0" w:afterAutospacing="0"/>
        <w:rPr>
          <w:rFonts w:ascii="TimesNewRomanPS" w:hAnsi="TimesNewRomanPS"/>
          <w:sz w:val="22"/>
          <w:szCs w:val="22"/>
        </w:rPr>
      </w:pPr>
      <w:r w:rsidRPr="0083219B">
        <w:rPr>
          <w:rFonts w:ascii="TimesNewRomanPS" w:hAnsi="TimesNewRomanPS"/>
          <w:i/>
          <w:iCs/>
          <w:sz w:val="22"/>
          <w:szCs w:val="22"/>
        </w:rPr>
        <w:t>COTJ Appendix: Methodology</w:t>
      </w:r>
      <w:r>
        <w:rPr>
          <w:rFonts w:ascii="TimesNewRomanPS" w:hAnsi="TimesNewRomanPS"/>
          <w:i/>
          <w:iCs/>
          <w:sz w:val="22"/>
          <w:szCs w:val="22"/>
        </w:rPr>
        <w:t xml:space="preserve"> </w:t>
      </w:r>
      <w:r>
        <w:rPr>
          <w:rFonts w:ascii="TimesNewRomanPS" w:hAnsi="TimesNewRomanPS"/>
          <w:sz w:val="22"/>
          <w:szCs w:val="22"/>
        </w:rPr>
        <w:t>§</w:t>
      </w:r>
      <w:r w:rsidRPr="004F0438">
        <w:rPr>
          <w:rFonts w:ascii="TimesNewRomanPS" w:hAnsi="TimesNewRomanPS"/>
          <w:sz w:val="22"/>
          <w:szCs w:val="22"/>
        </w:rPr>
        <w:t>§79–8</w:t>
      </w:r>
      <w:r>
        <w:rPr>
          <w:rFonts w:ascii="TimesNewRomanPS" w:hAnsi="TimesNewRomanPS"/>
          <w:sz w:val="22"/>
          <w:szCs w:val="22"/>
        </w:rPr>
        <w:t>6</w:t>
      </w:r>
      <w:r>
        <w:rPr>
          <w:rFonts w:ascii="TimesNewRomanPS" w:hAnsi="TimesNewRomanPS"/>
          <w:sz w:val="22"/>
          <w:szCs w:val="22"/>
        </w:rPr>
        <w:tab/>
        <w:t>Teleology, mechanism, nature, atheism</w:t>
      </w:r>
    </w:p>
    <w:p w14:paraId="2A9F7666" w14:textId="429346A0" w:rsidR="000E2776" w:rsidRDefault="000E2776" w:rsidP="004F0438">
      <w:pPr>
        <w:pStyle w:val="NormalWeb"/>
        <w:tabs>
          <w:tab w:val="left" w:pos="4320"/>
        </w:tabs>
        <w:spacing w:before="0" w:beforeAutospacing="0" w:after="0" w:afterAutospacing="0"/>
        <w:rPr>
          <w:sz w:val="22"/>
          <w:szCs w:val="22"/>
        </w:rPr>
      </w:pPr>
    </w:p>
    <w:p w14:paraId="2709445D" w14:textId="77777777" w:rsidR="00D900F1" w:rsidRPr="0083219B" w:rsidRDefault="00D900F1" w:rsidP="004F0438">
      <w:pPr>
        <w:pStyle w:val="NormalWeb"/>
        <w:tabs>
          <w:tab w:val="left" w:pos="4320"/>
        </w:tabs>
        <w:spacing w:before="0" w:beforeAutospacing="0" w:after="0" w:afterAutospacing="0"/>
        <w:rPr>
          <w:sz w:val="22"/>
          <w:szCs w:val="22"/>
        </w:rPr>
      </w:pPr>
    </w:p>
    <w:p w14:paraId="0CD115DB" w14:textId="428DF2A8"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 xml:space="preserve">****Spring Break**** NO CLASS MARCH </w:t>
      </w:r>
      <w:r w:rsidR="000E2776" w:rsidRPr="0083219B">
        <w:rPr>
          <w:rFonts w:ascii="TimesNewRomanPS" w:hAnsi="TimesNewRomanPS"/>
          <w:b/>
          <w:bCs/>
          <w:sz w:val="22"/>
          <w:szCs w:val="22"/>
        </w:rPr>
        <w:t>9</w:t>
      </w:r>
      <w:r w:rsidRPr="0083219B">
        <w:rPr>
          <w:rFonts w:ascii="TimesNewRomanPS" w:hAnsi="TimesNewRomanPS"/>
          <w:b/>
          <w:bCs/>
          <w:sz w:val="22"/>
          <w:szCs w:val="22"/>
        </w:rPr>
        <w:t xml:space="preserve"> </w:t>
      </w:r>
    </w:p>
    <w:p w14:paraId="5AA2FB6F" w14:textId="77777777" w:rsidR="000E2776" w:rsidRPr="0083219B" w:rsidRDefault="000E2776" w:rsidP="004F0438">
      <w:pPr>
        <w:pStyle w:val="NormalWeb"/>
        <w:tabs>
          <w:tab w:val="left" w:pos="4320"/>
        </w:tabs>
        <w:spacing w:before="0" w:beforeAutospacing="0" w:after="0" w:afterAutospacing="0"/>
        <w:rPr>
          <w:sz w:val="22"/>
          <w:szCs w:val="22"/>
        </w:rPr>
      </w:pPr>
    </w:p>
    <w:p w14:paraId="4C401C85" w14:textId="7B7BB0DB"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WEEK 8: March 1</w:t>
      </w:r>
      <w:r w:rsidR="000E2776" w:rsidRPr="0083219B">
        <w:rPr>
          <w:rFonts w:ascii="TimesNewRomanPS" w:hAnsi="TimesNewRomanPS"/>
          <w:b/>
          <w:bCs/>
          <w:sz w:val="22"/>
          <w:szCs w:val="22"/>
        </w:rPr>
        <w:t>6</w:t>
      </w:r>
    </w:p>
    <w:p w14:paraId="19C1A18D" w14:textId="55386140" w:rsidR="000E2776" w:rsidRDefault="00D900F1" w:rsidP="004F0438">
      <w:pPr>
        <w:pStyle w:val="NormalWeb"/>
        <w:tabs>
          <w:tab w:val="left" w:pos="4320"/>
        </w:tabs>
        <w:spacing w:before="0" w:beforeAutospacing="0" w:after="0" w:afterAutospacing="0"/>
        <w:rPr>
          <w:rFonts w:ascii="TimesNewRomanPS" w:hAnsi="TimesNewRomanPS"/>
          <w:sz w:val="22"/>
          <w:szCs w:val="22"/>
        </w:rPr>
      </w:pPr>
      <w:r w:rsidRPr="0083219B">
        <w:rPr>
          <w:rFonts w:ascii="TimesNewRomanPS" w:hAnsi="TimesNewRomanPS"/>
          <w:i/>
          <w:iCs/>
          <w:sz w:val="22"/>
          <w:szCs w:val="22"/>
        </w:rPr>
        <w:t xml:space="preserve">COTJ Appendix: Methodology </w:t>
      </w:r>
      <w:r>
        <w:rPr>
          <w:rFonts w:ascii="TimesNewRomanPS" w:hAnsi="TimesNewRomanPS"/>
          <w:sz w:val="22"/>
          <w:szCs w:val="22"/>
        </w:rPr>
        <w:t>§§87–end</w:t>
      </w:r>
      <w:r>
        <w:rPr>
          <w:rFonts w:ascii="TimesNewRomanPS" w:hAnsi="TimesNewRomanPS"/>
          <w:sz w:val="22"/>
          <w:szCs w:val="22"/>
        </w:rPr>
        <w:tab/>
        <w:t>Moral proof of the existence of God</w:t>
      </w:r>
    </w:p>
    <w:p w14:paraId="6EF7B92D" w14:textId="77777777" w:rsidR="00D900F1" w:rsidRPr="0083219B" w:rsidRDefault="00D900F1" w:rsidP="004F0438">
      <w:pPr>
        <w:pStyle w:val="NormalWeb"/>
        <w:tabs>
          <w:tab w:val="left" w:pos="4320"/>
        </w:tabs>
        <w:spacing w:before="0" w:beforeAutospacing="0" w:after="0" w:afterAutospacing="0"/>
        <w:rPr>
          <w:sz w:val="22"/>
          <w:szCs w:val="22"/>
        </w:rPr>
      </w:pPr>
    </w:p>
    <w:p w14:paraId="690F86D3" w14:textId="13DCAD37" w:rsidR="00EC3DCB" w:rsidRPr="0083219B" w:rsidRDefault="00EC3DCB" w:rsidP="004F0438">
      <w:pPr>
        <w:pStyle w:val="NormalWeb"/>
        <w:tabs>
          <w:tab w:val="left" w:pos="4320"/>
        </w:tabs>
        <w:spacing w:before="0" w:beforeAutospacing="0" w:after="0" w:afterAutospacing="0"/>
        <w:rPr>
          <w:sz w:val="22"/>
          <w:szCs w:val="22"/>
        </w:rPr>
      </w:pPr>
      <w:r w:rsidRPr="0083219B">
        <w:rPr>
          <w:rFonts w:ascii="TimesNewRomanPS" w:hAnsi="TimesNewRomanPS"/>
          <w:b/>
          <w:bCs/>
          <w:sz w:val="22"/>
          <w:szCs w:val="22"/>
        </w:rPr>
        <w:t xml:space="preserve">WEEK 9: March </w:t>
      </w:r>
      <w:r w:rsidR="0073291C" w:rsidRPr="0083219B">
        <w:rPr>
          <w:rFonts w:ascii="TimesNewRomanPS" w:hAnsi="TimesNewRomanPS"/>
          <w:b/>
          <w:bCs/>
          <w:sz w:val="22"/>
          <w:szCs w:val="22"/>
        </w:rPr>
        <w:t>2</w:t>
      </w:r>
      <w:r w:rsidR="000E2776" w:rsidRPr="0083219B">
        <w:rPr>
          <w:rFonts w:ascii="TimesNewRomanPS" w:hAnsi="TimesNewRomanPS"/>
          <w:b/>
          <w:bCs/>
          <w:sz w:val="22"/>
          <w:szCs w:val="22"/>
        </w:rPr>
        <w:t>3</w:t>
      </w:r>
    </w:p>
    <w:p w14:paraId="07751EE6" w14:textId="1D37BA81" w:rsidR="006C6D28" w:rsidRDefault="00D900F1" w:rsidP="004F0438">
      <w:pPr>
        <w:pStyle w:val="NormalWeb"/>
        <w:tabs>
          <w:tab w:val="left" w:pos="4320"/>
        </w:tabs>
        <w:spacing w:before="0" w:beforeAutospacing="0" w:after="0" w:afterAutospacing="0"/>
        <w:rPr>
          <w:rFonts w:ascii="TimesNewRomanPS" w:hAnsi="TimesNewRomanPS"/>
          <w:sz w:val="22"/>
          <w:szCs w:val="22"/>
        </w:rPr>
      </w:pPr>
      <w:r w:rsidRPr="0083219B">
        <w:rPr>
          <w:rFonts w:ascii="TimesNewRomanPS" w:hAnsi="TimesNewRomanPS"/>
          <w:sz w:val="22"/>
          <w:szCs w:val="22"/>
        </w:rPr>
        <w:t>Introduction</w:t>
      </w:r>
      <w:r>
        <w:rPr>
          <w:rFonts w:ascii="TimesNewRomanPS" w:hAnsi="TimesNewRomanPS"/>
          <w:sz w:val="22"/>
          <w:szCs w:val="22"/>
        </w:rPr>
        <w:t xml:space="preserve"> (pp. 55–83)</w:t>
      </w:r>
      <w:r>
        <w:rPr>
          <w:rFonts w:ascii="TimesNewRomanPS" w:hAnsi="TimesNewRomanPS"/>
          <w:sz w:val="22"/>
          <w:szCs w:val="22"/>
        </w:rPr>
        <w:tab/>
        <w:t>Reset! Nature and freedom</w:t>
      </w:r>
    </w:p>
    <w:p w14:paraId="08DA52EF" w14:textId="77777777" w:rsidR="00D900F1" w:rsidRPr="0083219B" w:rsidRDefault="00D900F1" w:rsidP="004F0438">
      <w:pPr>
        <w:pStyle w:val="NormalWeb"/>
        <w:tabs>
          <w:tab w:val="left" w:pos="4320"/>
        </w:tabs>
        <w:spacing w:before="0" w:beforeAutospacing="0" w:after="0" w:afterAutospacing="0"/>
        <w:rPr>
          <w:sz w:val="22"/>
          <w:szCs w:val="22"/>
        </w:rPr>
      </w:pPr>
    </w:p>
    <w:p w14:paraId="03D62330" w14:textId="1046D249" w:rsidR="00EC3DCB" w:rsidRPr="0083219B" w:rsidRDefault="00EC3DCB" w:rsidP="004F0438">
      <w:pPr>
        <w:pStyle w:val="NormalWeb"/>
        <w:tabs>
          <w:tab w:val="left" w:pos="4320"/>
        </w:tabs>
        <w:spacing w:before="0" w:beforeAutospacing="0" w:after="0" w:afterAutospacing="0"/>
        <w:rPr>
          <w:sz w:val="22"/>
          <w:szCs w:val="22"/>
        </w:rPr>
      </w:pPr>
      <w:r w:rsidRPr="0083219B">
        <w:rPr>
          <w:rFonts w:ascii="TimesNewRomanPS" w:hAnsi="TimesNewRomanPS"/>
          <w:b/>
          <w:bCs/>
          <w:sz w:val="22"/>
          <w:szCs w:val="22"/>
        </w:rPr>
        <w:t xml:space="preserve">WEEK 10: March </w:t>
      </w:r>
      <w:r w:rsidR="000E2776" w:rsidRPr="0083219B">
        <w:rPr>
          <w:rFonts w:ascii="TimesNewRomanPS" w:hAnsi="TimesNewRomanPS"/>
          <w:b/>
          <w:bCs/>
          <w:sz w:val="22"/>
          <w:szCs w:val="22"/>
        </w:rPr>
        <w:t>30</w:t>
      </w:r>
    </w:p>
    <w:p w14:paraId="244B0B40" w14:textId="3E85DD46" w:rsidR="004F0438" w:rsidRPr="004F0438" w:rsidRDefault="004F0438" w:rsidP="004F0438">
      <w:pPr>
        <w:pStyle w:val="NormalWeb"/>
        <w:tabs>
          <w:tab w:val="left" w:pos="4320"/>
        </w:tabs>
        <w:spacing w:before="0" w:beforeAutospacing="0" w:after="0" w:afterAutospacing="0"/>
        <w:rPr>
          <w:sz w:val="22"/>
          <w:szCs w:val="22"/>
        </w:rPr>
      </w:pPr>
      <w:r w:rsidRPr="0083219B">
        <w:rPr>
          <w:rFonts w:ascii="TimesNewRomanPS" w:hAnsi="TimesNewRomanPS"/>
          <w:i/>
          <w:iCs/>
          <w:sz w:val="22"/>
          <w:szCs w:val="22"/>
        </w:rPr>
        <w:t>COAJ Analytic of the Beautiful</w:t>
      </w:r>
      <w:r w:rsidR="00B45638">
        <w:rPr>
          <w:rFonts w:ascii="TimesNewRomanPS" w:hAnsi="TimesNewRomanPS"/>
          <w:i/>
          <w:iCs/>
          <w:sz w:val="22"/>
          <w:szCs w:val="22"/>
        </w:rPr>
        <w:t xml:space="preserve"> </w:t>
      </w:r>
      <w:r w:rsidR="00B45638">
        <w:rPr>
          <w:rFonts w:ascii="TimesNewRomanPS" w:hAnsi="TimesNewRomanPS"/>
          <w:sz w:val="22"/>
          <w:szCs w:val="22"/>
        </w:rPr>
        <w:t>§§1–22</w:t>
      </w:r>
      <w:r>
        <w:rPr>
          <w:rFonts w:ascii="TimesNewRomanPS" w:hAnsi="TimesNewRomanPS"/>
          <w:i/>
          <w:iCs/>
          <w:sz w:val="22"/>
          <w:szCs w:val="22"/>
        </w:rPr>
        <w:tab/>
      </w:r>
      <w:r>
        <w:rPr>
          <w:rFonts w:ascii="TimesNewRomanPS" w:hAnsi="TimesNewRomanPS"/>
          <w:sz w:val="22"/>
          <w:szCs w:val="22"/>
        </w:rPr>
        <w:t>Judgments of taste</w:t>
      </w:r>
    </w:p>
    <w:p w14:paraId="7BCBF951" w14:textId="77777777" w:rsidR="00CE4B03" w:rsidRPr="0083219B" w:rsidRDefault="00CE4B03" w:rsidP="004F0438">
      <w:pPr>
        <w:pStyle w:val="NormalWeb"/>
        <w:tabs>
          <w:tab w:val="left" w:pos="4320"/>
        </w:tabs>
        <w:spacing w:before="0" w:beforeAutospacing="0" w:after="0" w:afterAutospacing="0"/>
        <w:rPr>
          <w:sz w:val="22"/>
          <w:szCs w:val="22"/>
        </w:rPr>
      </w:pPr>
    </w:p>
    <w:p w14:paraId="1C5FBB83" w14:textId="66F59A86"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 xml:space="preserve">WEEK 11: </w:t>
      </w:r>
      <w:r w:rsidR="00735A00" w:rsidRPr="0083219B">
        <w:rPr>
          <w:rFonts w:ascii="TimesNewRomanPS" w:hAnsi="TimesNewRomanPS"/>
          <w:b/>
          <w:bCs/>
          <w:sz w:val="22"/>
          <w:szCs w:val="22"/>
        </w:rPr>
        <w:t xml:space="preserve">April </w:t>
      </w:r>
      <w:r w:rsidR="000E2776" w:rsidRPr="0083219B">
        <w:rPr>
          <w:rFonts w:ascii="TimesNewRomanPS" w:hAnsi="TimesNewRomanPS"/>
          <w:b/>
          <w:bCs/>
          <w:sz w:val="22"/>
          <w:szCs w:val="22"/>
        </w:rPr>
        <w:t>6</w:t>
      </w:r>
    </w:p>
    <w:p w14:paraId="5A2D4CF1" w14:textId="67488CA9" w:rsidR="00B45638" w:rsidRDefault="004F0438" w:rsidP="004F0438">
      <w:pPr>
        <w:pStyle w:val="NormalWeb"/>
        <w:tabs>
          <w:tab w:val="left" w:pos="4320"/>
        </w:tabs>
        <w:spacing w:before="0" w:beforeAutospacing="0" w:after="0" w:afterAutospacing="0"/>
        <w:rPr>
          <w:rFonts w:ascii="TimesNewRomanPS" w:hAnsi="TimesNewRomanPS"/>
          <w:i/>
          <w:iCs/>
          <w:sz w:val="22"/>
          <w:szCs w:val="22"/>
        </w:rPr>
      </w:pPr>
      <w:r w:rsidRPr="0083219B">
        <w:rPr>
          <w:rFonts w:ascii="TimesNewRomanPS" w:hAnsi="TimesNewRomanPS"/>
          <w:i/>
          <w:iCs/>
          <w:sz w:val="22"/>
          <w:szCs w:val="22"/>
        </w:rPr>
        <w:t xml:space="preserve">COAJ </w:t>
      </w:r>
      <w:r w:rsidR="00B45638">
        <w:rPr>
          <w:rFonts w:ascii="TimesNewRomanPS" w:hAnsi="TimesNewRomanPS"/>
          <w:i/>
          <w:iCs/>
          <w:sz w:val="22"/>
          <w:szCs w:val="22"/>
        </w:rPr>
        <w:t xml:space="preserve">Analytic of the Sublime </w:t>
      </w:r>
      <w:r w:rsidR="00B45638">
        <w:rPr>
          <w:rFonts w:ascii="TimesNewRomanPS" w:hAnsi="TimesNewRomanPS"/>
          <w:sz w:val="22"/>
          <w:szCs w:val="22"/>
        </w:rPr>
        <w:t>§§23–29</w:t>
      </w:r>
      <w:r w:rsidR="00B45638">
        <w:rPr>
          <w:rFonts w:ascii="TimesNewRomanPS" w:hAnsi="TimesNewRomanPS"/>
          <w:sz w:val="22"/>
          <w:szCs w:val="22"/>
        </w:rPr>
        <w:tab/>
        <w:t xml:space="preserve">The sublime, mathematical and </w:t>
      </w:r>
      <w:proofErr w:type="gramStart"/>
      <w:r w:rsidR="00B45638">
        <w:rPr>
          <w:rFonts w:ascii="TimesNewRomanPS" w:hAnsi="TimesNewRomanPS"/>
          <w:sz w:val="22"/>
          <w:szCs w:val="22"/>
        </w:rPr>
        <w:t>dynamical;</w:t>
      </w:r>
      <w:proofErr w:type="gramEnd"/>
    </w:p>
    <w:p w14:paraId="26B98E8B" w14:textId="0BFCFC6D" w:rsidR="004F0438" w:rsidRPr="00B45638" w:rsidRDefault="00756E17" w:rsidP="004F0438">
      <w:pPr>
        <w:pStyle w:val="NormalWeb"/>
        <w:tabs>
          <w:tab w:val="left" w:pos="4320"/>
        </w:tabs>
        <w:spacing w:before="0" w:beforeAutospacing="0" w:after="0" w:afterAutospacing="0"/>
        <w:rPr>
          <w:sz w:val="22"/>
          <w:szCs w:val="22"/>
        </w:rPr>
      </w:pPr>
      <w:r>
        <w:rPr>
          <w:rFonts w:ascii="TimesNewRomanPS" w:hAnsi="TimesNewRomanPS"/>
          <w:i/>
          <w:iCs/>
          <w:sz w:val="22"/>
          <w:szCs w:val="22"/>
        </w:rPr>
        <w:t xml:space="preserve">&amp; </w:t>
      </w:r>
      <w:r w:rsidR="004F0438" w:rsidRPr="0083219B">
        <w:rPr>
          <w:rFonts w:ascii="TimesNewRomanPS" w:hAnsi="TimesNewRomanPS"/>
          <w:i/>
          <w:iCs/>
          <w:sz w:val="22"/>
          <w:szCs w:val="22"/>
        </w:rPr>
        <w:t>Deduction of Pure Judgments of Taste</w:t>
      </w:r>
      <w:r w:rsidR="00B45638">
        <w:rPr>
          <w:rFonts w:ascii="TimesNewRomanPS" w:hAnsi="TimesNewRomanPS"/>
          <w:i/>
          <w:iCs/>
          <w:sz w:val="22"/>
          <w:szCs w:val="22"/>
        </w:rPr>
        <w:t xml:space="preserve"> </w:t>
      </w:r>
      <w:r w:rsidR="00B45638">
        <w:rPr>
          <w:rFonts w:ascii="TimesNewRomanPS" w:hAnsi="TimesNewRomanPS"/>
          <w:sz w:val="22"/>
          <w:szCs w:val="22"/>
        </w:rPr>
        <w:t>§</w:t>
      </w:r>
      <w:r w:rsidR="00B45638" w:rsidRPr="00B45638">
        <w:rPr>
          <w:rFonts w:ascii="TimesNewRomanPS" w:hAnsi="TimesNewRomanPS"/>
          <w:sz w:val="22"/>
          <w:szCs w:val="22"/>
        </w:rPr>
        <w:t>30–42</w:t>
      </w:r>
      <w:r>
        <w:rPr>
          <w:rFonts w:ascii="TimesNewRomanPS" w:hAnsi="TimesNewRomanPS"/>
          <w:sz w:val="22"/>
          <w:szCs w:val="22"/>
        </w:rPr>
        <w:t xml:space="preserve"> </w:t>
      </w:r>
      <w:proofErr w:type="spellStart"/>
      <w:r w:rsidR="004F0438">
        <w:rPr>
          <w:rFonts w:ascii="TimesNewRomanPS" w:hAnsi="TimesNewRomanPS"/>
          <w:i/>
          <w:iCs/>
          <w:sz w:val="22"/>
          <w:szCs w:val="22"/>
        </w:rPr>
        <w:t>sensus</w:t>
      </w:r>
      <w:proofErr w:type="spellEnd"/>
      <w:r w:rsidR="004F0438">
        <w:rPr>
          <w:rFonts w:ascii="TimesNewRomanPS" w:hAnsi="TimesNewRomanPS"/>
          <w:i/>
          <w:iCs/>
          <w:sz w:val="22"/>
          <w:szCs w:val="22"/>
        </w:rPr>
        <w:t xml:space="preserve"> communis</w:t>
      </w:r>
      <w:r w:rsidR="00B45638">
        <w:rPr>
          <w:rFonts w:ascii="TimesNewRomanPS" w:hAnsi="TimesNewRomanPS"/>
          <w:i/>
          <w:iCs/>
          <w:sz w:val="22"/>
          <w:szCs w:val="22"/>
        </w:rPr>
        <w:t xml:space="preserve"> </w:t>
      </w:r>
      <w:r w:rsidR="00B45638">
        <w:rPr>
          <w:rFonts w:ascii="TimesNewRomanPS" w:hAnsi="TimesNewRomanPS"/>
          <w:sz w:val="22"/>
          <w:szCs w:val="22"/>
        </w:rPr>
        <w:t>(this is a lot of reading—don’t linger)</w:t>
      </w:r>
    </w:p>
    <w:p w14:paraId="1371FA2B" w14:textId="77777777" w:rsidR="000E2776" w:rsidRPr="0083219B" w:rsidRDefault="000E2776" w:rsidP="004F0438">
      <w:pPr>
        <w:pStyle w:val="NormalWeb"/>
        <w:tabs>
          <w:tab w:val="left" w:pos="4320"/>
        </w:tabs>
        <w:spacing w:before="0" w:beforeAutospacing="0" w:after="0" w:afterAutospacing="0"/>
        <w:rPr>
          <w:rFonts w:ascii="TimesNewRomanPS" w:hAnsi="TimesNewRomanPS"/>
          <w:b/>
          <w:bCs/>
          <w:sz w:val="22"/>
          <w:szCs w:val="22"/>
        </w:rPr>
      </w:pPr>
    </w:p>
    <w:p w14:paraId="1FA949EA" w14:textId="1EF977A4" w:rsidR="00EC3DCB" w:rsidRDefault="00735A00"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 xml:space="preserve">WEEK 12: </w:t>
      </w:r>
      <w:r w:rsidR="00EC3DCB" w:rsidRPr="0083219B">
        <w:rPr>
          <w:rFonts w:ascii="TimesNewRomanPS" w:hAnsi="TimesNewRomanPS"/>
          <w:b/>
          <w:bCs/>
          <w:sz w:val="22"/>
          <w:szCs w:val="22"/>
        </w:rPr>
        <w:t xml:space="preserve">April </w:t>
      </w:r>
      <w:r w:rsidRPr="0083219B">
        <w:rPr>
          <w:rFonts w:ascii="TimesNewRomanPS" w:hAnsi="TimesNewRomanPS"/>
          <w:b/>
          <w:bCs/>
          <w:sz w:val="22"/>
          <w:szCs w:val="22"/>
        </w:rPr>
        <w:t>1</w:t>
      </w:r>
      <w:r w:rsidR="000E2776" w:rsidRPr="0083219B">
        <w:rPr>
          <w:rFonts w:ascii="TimesNewRomanPS" w:hAnsi="TimesNewRomanPS"/>
          <w:b/>
          <w:bCs/>
          <w:sz w:val="22"/>
          <w:szCs w:val="22"/>
        </w:rPr>
        <w:t>3</w:t>
      </w:r>
    </w:p>
    <w:p w14:paraId="636F9070" w14:textId="60710C4A" w:rsidR="0083219B" w:rsidRPr="00B45638" w:rsidRDefault="0083219B" w:rsidP="004F0438">
      <w:pPr>
        <w:pStyle w:val="NormalWeb"/>
        <w:tabs>
          <w:tab w:val="left" w:pos="4320"/>
        </w:tabs>
        <w:spacing w:before="0" w:beforeAutospacing="0" w:after="0" w:afterAutospacing="0"/>
        <w:rPr>
          <w:sz w:val="22"/>
          <w:szCs w:val="22"/>
        </w:rPr>
      </w:pPr>
      <w:r w:rsidRPr="0083219B">
        <w:rPr>
          <w:rFonts w:ascii="TimesNewRomanPS" w:hAnsi="TimesNewRomanPS"/>
          <w:i/>
          <w:iCs/>
          <w:sz w:val="22"/>
          <w:szCs w:val="22"/>
        </w:rPr>
        <w:t>COAJ Deduction of Pure Judgments of Taste</w:t>
      </w:r>
      <w:r w:rsidR="00B45638">
        <w:rPr>
          <w:rFonts w:ascii="TimesNewRomanPS" w:hAnsi="TimesNewRomanPS"/>
          <w:i/>
          <w:iCs/>
          <w:sz w:val="22"/>
          <w:szCs w:val="22"/>
        </w:rPr>
        <w:t xml:space="preserve"> </w:t>
      </w:r>
      <w:r w:rsidR="00B45638" w:rsidRPr="00B45638">
        <w:rPr>
          <w:rFonts w:ascii="TimesNewRomanPS" w:hAnsi="TimesNewRomanPS"/>
          <w:sz w:val="22"/>
          <w:szCs w:val="22"/>
        </w:rPr>
        <w:t>§43-54</w:t>
      </w:r>
      <w:r w:rsidR="004F0438">
        <w:rPr>
          <w:rFonts w:ascii="TimesNewRomanPS" w:hAnsi="TimesNewRomanPS"/>
          <w:i/>
          <w:iCs/>
          <w:sz w:val="22"/>
          <w:szCs w:val="22"/>
        </w:rPr>
        <w:tab/>
      </w:r>
      <w:r w:rsidR="00B45638">
        <w:rPr>
          <w:rFonts w:ascii="TimesNewRomanPS" w:hAnsi="TimesNewRomanPS"/>
          <w:sz w:val="22"/>
          <w:szCs w:val="22"/>
        </w:rPr>
        <w:t xml:space="preserve">Genius, art (only </w:t>
      </w:r>
      <w:r w:rsidR="00B45638">
        <w:rPr>
          <w:rFonts w:ascii="TimesNewRomanPS" w:hAnsi="TimesNewRomanPS"/>
          <w:i/>
          <w:iCs/>
          <w:sz w:val="22"/>
          <w:szCs w:val="22"/>
        </w:rPr>
        <w:t>skim</w:t>
      </w:r>
      <w:r w:rsidR="00B45638">
        <w:rPr>
          <w:rFonts w:ascii="TimesNewRomanPS" w:hAnsi="TimesNewRomanPS"/>
          <w:sz w:val="22"/>
          <w:szCs w:val="22"/>
        </w:rPr>
        <w:t xml:space="preserve"> §§51–54)</w:t>
      </w:r>
    </w:p>
    <w:p w14:paraId="52A65C1F" w14:textId="77777777" w:rsidR="006C6D28" w:rsidRPr="0083219B" w:rsidRDefault="006C6D28" w:rsidP="004F0438">
      <w:pPr>
        <w:pStyle w:val="NormalWeb"/>
        <w:tabs>
          <w:tab w:val="left" w:pos="4320"/>
        </w:tabs>
        <w:spacing w:before="0" w:beforeAutospacing="0" w:after="0" w:afterAutospacing="0"/>
        <w:rPr>
          <w:rFonts w:ascii="TimesNewRomanPSMT" w:hAnsi="TimesNewRomanPSMT"/>
          <w:sz w:val="22"/>
          <w:szCs w:val="22"/>
        </w:rPr>
      </w:pPr>
    </w:p>
    <w:p w14:paraId="3C8547C3" w14:textId="12C4C1D7"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 xml:space="preserve">WEEK 13: April </w:t>
      </w:r>
      <w:r w:rsidR="000E2776" w:rsidRPr="0083219B">
        <w:rPr>
          <w:rFonts w:ascii="TimesNewRomanPS" w:hAnsi="TimesNewRomanPS"/>
          <w:b/>
          <w:bCs/>
          <w:sz w:val="22"/>
          <w:szCs w:val="22"/>
        </w:rPr>
        <w:t>20</w:t>
      </w:r>
    </w:p>
    <w:p w14:paraId="6A9219F7" w14:textId="54D43B22" w:rsidR="00CE4B03" w:rsidRPr="004F0438" w:rsidRDefault="00B45638" w:rsidP="004F0438">
      <w:pPr>
        <w:pStyle w:val="NormalWeb"/>
        <w:tabs>
          <w:tab w:val="left" w:pos="4320"/>
        </w:tabs>
        <w:spacing w:before="0" w:beforeAutospacing="0" w:after="0" w:afterAutospacing="0"/>
        <w:rPr>
          <w:sz w:val="22"/>
          <w:szCs w:val="22"/>
        </w:rPr>
      </w:pPr>
      <w:r w:rsidRPr="0083219B">
        <w:rPr>
          <w:rFonts w:ascii="TimesNewRomanPS" w:hAnsi="TimesNewRomanPS"/>
          <w:i/>
          <w:iCs/>
          <w:sz w:val="22"/>
          <w:szCs w:val="22"/>
        </w:rPr>
        <w:t>COAJ Dialectic and Methodology of Taste</w:t>
      </w:r>
      <w:r>
        <w:rPr>
          <w:rFonts w:ascii="TimesNewRomanPS" w:hAnsi="TimesNewRomanPS"/>
          <w:i/>
          <w:iCs/>
          <w:sz w:val="22"/>
          <w:szCs w:val="22"/>
        </w:rPr>
        <w:t xml:space="preserve"> </w:t>
      </w:r>
      <w:r>
        <w:rPr>
          <w:rFonts w:ascii="TimesNewRomanPS" w:hAnsi="TimesNewRomanPS"/>
          <w:sz w:val="22"/>
          <w:szCs w:val="22"/>
        </w:rPr>
        <w:t>§§55–58</w:t>
      </w:r>
      <w:r w:rsidR="004F0438">
        <w:rPr>
          <w:rFonts w:ascii="TimesNewRomanPS" w:hAnsi="TimesNewRomanPS"/>
          <w:sz w:val="22"/>
          <w:szCs w:val="22"/>
        </w:rPr>
        <w:tab/>
      </w:r>
      <w:r>
        <w:rPr>
          <w:rFonts w:ascii="TimesNewRomanPS" w:hAnsi="TimesNewRomanPS"/>
          <w:sz w:val="22"/>
          <w:szCs w:val="22"/>
        </w:rPr>
        <w:t>Antinomy of taste</w:t>
      </w:r>
    </w:p>
    <w:p w14:paraId="4FBCDB25" w14:textId="77777777" w:rsidR="000E2776" w:rsidRPr="0083219B" w:rsidRDefault="000E2776" w:rsidP="004F0438">
      <w:pPr>
        <w:pStyle w:val="NormalWeb"/>
        <w:tabs>
          <w:tab w:val="left" w:pos="4320"/>
        </w:tabs>
        <w:spacing w:before="0" w:beforeAutospacing="0" w:after="0" w:afterAutospacing="0"/>
        <w:rPr>
          <w:sz w:val="22"/>
          <w:szCs w:val="22"/>
        </w:rPr>
      </w:pPr>
    </w:p>
    <w:p w14:paraId="18EC47C0" w14:textId="38049B29" w:rsidR="00EC3DCB" w:rsidRPr="0083219B" w:rsidRDefault="00EC3DCB" w:rsidP="004F0438">
      <w:pPr>
        <w:pStyle w:val="NormalWeb"/>
        <w:tabs>
          <w:tab w:val="left" w:pos="4320"/>
        </w:tabs>
        <w:spacing w:before="0" w:beforeAutospacing="0" w:after="0" w:afterAutospacing="0"/>
        <w:rPr>
          <w:rFonts w:ascii="TimesNewRomanPS" w:hAnsi="TimesNewRomanPS"/>
          <w:b/>
          <w:bCs/>
          <w:sz w:val="22"/>
          <w:szCs w:val="22"/>
        </w:rPr>
      </w:pPr>
      <w:r w:rsidRPr="0083219B">
        <w:rPr>
          <w:rFonts w:ascii="TimesNewRomanPS" w:hAnsi="TimesNewRomanPS"/>
          <w:b/>
          <w:bCs/>
          <w:sz w:val="22"/>
          <w:szCs w:val="22"/>
        </w:rPr>
        <w:t>WEEK 14: April 2</w:t>
      </w:r>
      <w:r w:rsidR="000E2776" w:rsidRPr="0083219B">
        <w:rPr>
          <w:rFonts w:ascii="TimesNewRomanPS" w:hAnsi="TimesNewRomanPS"/>
          <w:b/>
          <w:bCs/>
          <w:sz w:val="22"/>
          <w:szCs w:val="22"/>
        </w:rPr>
        <w:t>7</w:t>
      </w:r>
    </w:p>
    <w:p w14:paraId="0C28CCA6" w14:textId="6F2A7835" w:rsidR="00CE4B03" w:rsidRPr="00B45638" w:rsidRDefault="00CE4B03" w:rsidP="004F0438">
      <w:pPr>
        <w:pStyle w:val="NormalWeb"/>
        <w:tabs>
          <w:tab w:val="left" w:pos="4320"/>
        </w:tabs>
        <w:spacing w:before="0" w:beforeAutospacing="0" w:after="0" w:afterAutospacing="0"/>
        <w:rPr>
          <w:sz w:val="22"/>
          <w:szCs w:val="22"/>
        </w:rPr>
      </w:pPr>
      <w:r w:rsidRPr="0083219B">
        <w:rPr>
          <w:rFonts w:ascii="TimesNewRomanPS" w:hAnsi="TimesNewRomanPS"/>
          <w:i/>
          <w:iCs/>
          <w:sz w:val="22"/>
          <w:szCs w:val="22"/>
        </w:rPr>
        <w:t>COAJ Dialectic and Methodology of Taste</w:t>
      </w:r>
      <w:r w:rsidR="00B45638">
        <w:rPr>
          <w:rFonts w:ascii="TimesNewRomanPS" w:hAnsi="TimesNewRomanPS"/>
          <w:i/>
          <w:iCs/>
          <w:sz w:val="22"/>
          <w:szCs w:val="22"/>
        </w:rPr>
        <w:t xml:space="preserve"> </w:t>
      </w:r>
      <w:r w:rsidR="00B45638">
        <w:rPr>
          <w:rFonts w:ascii="TimesNewRomanPS" w:hAnsi="TimesNewRomanPS"/>
          <w:sz w:val="22"/>
          <w:szCs w:val="22"/>
        </w:rPr>
        <w:t>§§59–60</w:t>
      </w:r>
      <w:r w:rsidR="00B45638">
        <w:rPr>
          <w:rFonts w:ascii="TimesNewRomanPS" w:hAnsi="TimesNewRomanPS"/>
          <w:sz w:val="22"/>
          <w:szCs w:val="22"/>
        </w:rPr>
        <w:tab/>
        <w:t>Beauty as a symbol of morality</w:t>
      </w:r>
    </w:p>
    <w:p w14:paraId="1C87432D" w14:textId="77777777" w:rsidR="00CE4B03" w:rsidRPr="0083219B" w:rsidRDefault="00CE4B03" w:rsidP="004F0438">
      <w:pPr>
        <w:pStyle w:val="NormalWeb"/>
        <w:tabs>
          <w:tab w:val="left" w:pos="4320"/>
        </w:tabs>
        <w:spacing w:before="0" w:beforeAutospacing="0" w:after="0" w:afterAutospacing="0"/>
        <w:rPr>
          <w:sz w:val="22"/>
          <w:szCs w:val="22"/>
        </w:rPr>
      </w:pPr>
    </w:p>
    <w:p w14:paraId="18904D48" w14:textId="77777777" w:rsidR="000E2776" w:rsidRPr="0083219B" w:rsidRDefault="000E2776" w:rsidP="004F0438">
      <w:pPr>
        <w:pStyle w:val="NormalWeb"/>
        <w:tabs>
          <w:tab w:val="left" w:pos="4320"/>
        </w:tabs>
        <w:spacing w:before="0" w:beforeAutospacing="0" w:after="0" w:afterAutospacing="0"/>
        <w:rPr>
          <w:sz w:val="22"/>
          <w:szCs w:val="22"/>
        </w:rPr>
      </w:pPr>
    </w:p>
    <w:p w14:paraId="1EC2D773" w14:textId="3D3575B8" w:rsidR="00EC3DCB" w:rsidRPr="0083219B" w:rsidRDefault="00EC3DCB" w:rsidP="00EC3DCB">
      <w:pPr>
        <w:pStyle w:val="NormalWeb"/>
        <w:spacing w:before="0" w:beforeAutospacing="0" w:after="0" w:afterAutospacing="0"/>
        <w:rPr>
          <w:sz w:val="22"/>
          <w:szCs w:val="22"/>
        </w:rPr>
      </w:pPr>
      <w:r w:rsidRPr="0083219B">
        <w:rPr>
          <w:rFonts w:ascii="TimesNewRomanPS" w:hAnsi="TimesNewRomanPS"/>
          <w:b/>
          <w:bCs/>
          <w:i/>
          <w:iCs/>
          <w:sz w:val="22"/>
          <w:szCs w:val="22"/>
        </w:rPr>
        <w:t xml:space="preserve">Final Papers: </w:t>
      </w:r>
      <w:r w:rsidRPr="0083219B">
        <w:rPr>
          <w:rFonts w:ascii="TimesNewRomanPSMT" w:hAnsi="TimesNewRomanPSMT"/>
          <w:sz w:val="22"/>
          <w:szCs w:val="22"/>
        </w:rPr>
        <w:t>Due Friday 5/</w:t>
      </w:r>
      <w:r w:rsidR="00B80ABA" w:rsidRPr="0083219B">
        <w:rPr>
          <w:rFonts w:ascii="TimesNewRomanPSMT" w:hAnsi="TimesNewRomanPSMT"/>
          <w:sz w:val="22"/>
          <w:szCs w:val="22"/>
        </w:rPr>
        <w:t>6</w:t>
      </w:r>
      <w:r w:rsidRPr="0083219B">
        <w:rPr>
          <w:rFonts w:ascii="TimesNewRomanPSMT" w:hAnsi="TimesNewRomanPSMT"/>
          <w:sz w:val="22"/>
          <w:szCs w:val="22"/>
        </w:rPr>
        <w:t xml:space="preserve"> </w:t>
      </w:r>
    </w:p>
    <w:p w14:paraId="5EE510EE" w14:textId="77777777" w:rsidR="00EC3DCB" w:rsidRDefault="00EC3DCB" w:rsidP="00EC3DCB">
      <w:r>
        <w:br w:type="page"/>
      </w:r>
    </w:p>
    <w:p w14:paraId="0413E366" w14:textId="64F51125" w:rsidR="00B81CD3" w:rsidRDefault="00BB47C5">
      <w:pPr>
        <w:rPr>
          <w:i/>
          <w:iCs/>
          <w:sz w:val="22"/>
          <w:szCs w:val="22"/>
        </w:rPr>
      </w:pPr>
      <w:r>
        <w:rPr>
          <w:sz w:val="22"/>
          <w:szCs w:val="22"/>
        </w:rPr>
        <w:lastRenderedPageBreak/>
        <w:t>Abbreviated</w:t>
      </w:r>
      <w:r w:rsidR="00FC57FE">
        <w:rPr>
          <w:sz w:val="22"/>
          <w:szCs w:val="22"/>
        </w:rPr>
        <w:t xml:space="preserve"> </w:t>
      </w:r>
      <w:r w:rsidR="00F94977" w:rsidRPr="00B57C43">
        <w:rPr>
          <w:sz w:val="22"/>
          <w:szCs w:val="22"/>
        </w:rPr>
        <w:t xml:space="preserve">English-language </w:t>
      </w:r>
      <w:r w:rsidR="00323654" w:rsidRPr="00B57C43">
        <w:rPr>
          <w:sz w:val="22"/>
          <w:szCs w:val="22"/>
        </w:rPr>
        <w:t>Bibliography</w:t>
      </w:r>
      <w:r w:rsidR="00F94977" w:rsidRPr="00B57C43">
        <w:rPr>
          <w:sz w:val="22"/>
          <w:szCs w:val="22"/>
        </w:rPr>
        <w:t xml:space="preserve"> for Kant’s </w:t>
      </w:r>
      <w:r w:rsidR="00F94977" w:rsidRPr="00B57C43">
        <w:rPr>
          <w:i/>
          <w:iCs/>
          <w:sz w:val="22"/>
          <w:szCs w:val="22"/>
        </w:rPr>
        <w:t>Critique of the Power of Judgment</w:t>
      </w:r>
    </w:p>
    <w:p w14:paraId="289FA28B" w14:textId="28DA5A2D" w:rsidR="00F35037" w:rsidRPr="00F35037" w:rsidRDefault="00F35037">
      <w:pPr>
        <w:rPr>
          <w:sz w:val="22"/>
          <w:szCs w:val="22"/>
        </w:rPr>
      </w:pPr>
      <w:r>
        <w:rPr>
          <w:sz w:val="22"/>
          <w:szCs w:val="22"/>
        </w:rPr>
        <w:t xml:space="preserve">(These are </w:t>
      </w:r>
      <w:r>
        <w:rPr>
          <w:i/>
          <w:iCs/>
          <w:sz w:val="22"/>
          <w:szCs w:val="22"/>
        </w:rPr>
        <w:t>central</w:t>
      </w:r>
      <w:r>
        <w:rPr>
          <w:sz w:val="22"/>
          <w:szCs w:val="22"/>
        </w:rPr>
        <w:t xml:space="preserve"> and seminal works, to be regarded as starting points/unavoidable literature). </w:t>
      </w:r>
    </w:p>
    <w:p w14:paraId="337FFE2B" w14:textId="5046997A" w:rsidR="00323654" w:rsidRPr="00B57C43" w:rsidRDefault="00323654">
      <w:pPr>
        <w:rPr>
          <w:sz w:val="22"/>
          <w:szCs w:val="22"/>
        </w:rPr>
      </w:pPr>
    </w:p>
    <w:p w14:paraId="3F7ABFB4" w14:textId="7ACF1626" w:rsidR="00323654" w:rsidRPr="00B57C43" w:rsidRDefault="00323654">
      <w:pPr>
        <w:rPr>
          <w:smallCaps/>
          <w:sz w:val="22"/>
          <w:szCs w:val="22"/>
        </w:rPr>
      </w:pPr>
      <w:r w:rsidRPr="00B57C43">
        <w:rPr>
          <w:smallCaps/>
          <w:sz w:val="22"/>
          <w:szCs w:val="22"/>
        </w:rPr>
        <w:t>Ma</w:t>
      </w:r>
      <w:r w:rsidR="00EF0B04" w:rsidRPr="00B57C43">
        <w:rPr>
          <w:smallCaps/>
          <w:sz w:val="22"/>
          <w:szCs w:val="22"/>
        </w:rPr>
        <w:t>jor book-length</w:t>
      </w:r>
      <w:r w:rsidRPr="00B57C43">
        <w:rPr>
          <w:smallCaps/>
          <w:sz w:val="22"/>
          <w:szCs w:val="22"/>
        </w:rPr>
        <w:t xml:space="preserve"> works of secondary literature</w:t>
      </w:r>
    </w:p>
    <w:p w14:paraId="5857AB4F" w14:textId="3653D8FB" w:rsidR="00323654" w:rsidRPr="00B57C43" w:rsidRDefault="00323654">
      <w:pPr>
        <w:rPr>
          <w:sz w:val="22"/>
          <w:szCs w:val="22"/>
        </w:rPr>
      </w:pPr>
    </w:p>
    <w:p w14:paraId="4A16FC6E" w14:textId="5FF213F9" w:rsidR="00323654" w:rsidRPr="00B57C43" w:rsidRDefault="00F94977">
      <w:pPr>
        <w:rPr>
          <w:sz w:val="22"/>
          <w:szCs w:val="22"/>
        </w:rPr>
      </w:pPr>
      <w:r w:rsidRPr="00B57C43">
        <w:rPr>
          <w:b/>
          <w:bCs/>
          <w:sz w:val="22"/>
          <w:szCs w:val="22"/>
        </w:rPr>
        <w:t>Entire</w:t>
      </w:r>
      <w:r w:rsidR="00323654" w:rsidRPr="00B57C43">
        <w:rPr>
          <w:b/>
          <w:bCs/>
          <w:sz w:val="22"/>
          <w:szCs w:val="22"/>
        </w:rPr>
        <w:t xml:space="preserve"> book</w:t>
      </w:r>
      <w:r w:rsidRPr="00B57C43">
        <w:rPr>
          <w:b/>
          <w:bCs/>
          <w:sz w:val="22"/>
          <w:szCs w:val="22"/>
        </w:rPr>
        <w:t xml:space="preserve"> </w:t>
      </w:r>
      <w:r w:rsidRPr="00B57C43">
        <w:rPr>
          <w:sz w:val="22"/>
          <w:szCs w:val="22"/>
        </w:rPr>
        <w:t xml:space="preserve">(these are worth looking at for </w:t>
      </w:r>
      <w:r w:rsidR="00F35037">
        <w:rPr>
          <w:sz w:val="22"/>
          <w:szCs w:val="22"/>
        </w:rPr>
        <w:t xml:space="preserve">pretty much </w:t>
      </w:r>
      <w:r w:rsidRPr="00B57C43">
        <w:rPr>
          <w:i/>
          <w:iCs/>
          <w:sz w:val="22"/>
          <w:szCs w:val="22"/>
        </w:rPr>
        <w:t>any</w:t>
      </w:r>
      <w:r w:rsidRPr="00B57C43">
        <w:rPr>
          <w:sz w:val="22"/>
          <w:szCs w:val="22"/>
        </w:rPr>
        <w:t xml:space="preserve"> topic in the third </w:t>
      </w:r>
      <w:r w:rsidRPr="00B57C43">
        <w:rPr>
          <w:i/>
          <w:iCs/>
          <w:sz w:val="22"/>
          <w:szCs w:val="22"/>
        </w:rPr>
        <w:t>Critique</w:t>
      </w:r>
      <w:r w:rsidRPr="00B57C43">
        <w:rPr>
          <w:sz w:val="22"/>
          <w:szCs w:val="22"/>
        </w:rPr>
        <w:t>)</w:t>
      </w:r>
    </w:p>
    <w:p w14:paraId="0AD9F09D" w14:textId="5B2F2A88" w:rsidR="00323654" w:rsidRPr="00B57C43" w:rsidRDefault="00BB47C5">
      <w:pPr>
        <w:rPr>
          <w:sz w:val="22"/>
          <w:szCs w:val="22"/>
        </w:rPr>
      </w:pPr>
      <w:r>
        <w:rPr>
          <w:sz w:val="22"/>
          <w:szCs w:val="22"/>
        </w:rPr>
        <w:t xml:space="preserve">Rachel </w:t>
      </w:r>
      <w:r w:rsidR="00323654" w:rsidRPr="00B57C43">
        <w:rPr>
          <w:sz w:val="22"/>
          <w:szCs w:val="22"/>
        </w:rPr>
        <w:t xml:space="preserve">Zuckert </w:t>
      </w:r>
      <w:r w:rsidR="00323654" w:rsidRPr="00B57C43">
        <w:rPr>
          <w:i/>
          <w:iCs/>
          <w:sz w:val="22"/>
          <w:szCs w:val="22"/>
        </w:rPr>
        <w:t>Kant on Beauty and Biology</w:t>
      </w:r>
      <w:r w:rsidR="00EF0B04" w:rsidRPr="00B57C43">
        <w:rPr>
          <w:i/>
          <w:iCs/>
          <w:sz w:val="22"/>
          <w:szCs w:val="22"/>
        </w:rPr>
        <w:t xml:space="preserve"> </w:t>
      </w:r>
      <w:r w:rsidR="00EF0B04" w:rsidRPr="00B57C43">
        <w:rPr>
          <w:sz w:val="22"/>
          <w:szCs w:val="22"/>
        </w:rPr>
        <w:t>(Cambridge 2007)</w:t>
      </w:r>
    </w:p>
    <w:p w14:paraId="19F76057" w14:textId="61090327" w:rsidR="00323654" w:rsidRPr="00B57C43" w:rsidRDefault="00BB47C5">
      <w:pPr>
        <w:rPr>
          <w:sz w:val="22"/>
          <w:szCs w:val="22"/>
        </w:rPr>
      </w:pPr>
      <w:r>
        <w:rPr>
          <w:sz w:val="22"/>
          <w:szCs w:val="22"/>
        </w:rPr>
        <w:t xml:space="preserve">Hannah </w:t>
      </w:r>
      <w:proofErr w:type="spellStart"/>
      <w:r w:rsidR="00323654" w:rsidRPr="00B57C43">
        <w:rPr>
          <w:sz w:val="22"/>
          <w:szCs w:val="22"/>
        </w:rPr>
        <w:t>Ginsborg</w:t>
      </w:r>
      <w:proofErr w:type="spellEnd"/>
      <w:r w:rsidR="00323654" w:rsidRPr="00B57C43">
        <w:rPr>
          <w:sz w:val="22"/>
          <w:szCs w:val="22"/>
        </w:rPr>
        <w:t xml:space="preserve"> </w:t>
      </w:r>
      <w:r w:rsidR="00323654" w:rsidRPr="00B57C43">
        <w:rPr>
          <w:i/>
          <w:iCs/>
          <w:sz w:val="22"/>
          <w:szCs w:val="22"/>
        </w:rPr>
        <w:t>The Nature of Normativity</w:t>
      </w:r>
      <w:r w:rsidR="00EF0B04" w:rsidRPr="00B57C43">
        <w:rPr>
          <w:i/>
          <w:iCs/>
          <w:sz w:val="22"/>
          <w:szCs w:val="22"/>
        </w:rPr>
        <w:t xml:space="preserve"> </w:t>
      </w:r>
      <w:r w:rsidR="00EF0B04" w:rsidRPr="00B57C43">
        <w:rPr>
          <w:sz w:val="22"/>
          <w:szCs w:val="22"/>
        </w:rPr>
        <w:t>(Oxford 2015)</w:t>
      </w:r>
    </w:p>
    <w:p w14:paraId="7DF6F2FF" w14:textId="05D5189A" w:rsidR="00323654" w:rsidRPr="00B57C43" w:rsidRDefault="00323654">
      <w:pPr>
        <w:rPr>
          <w:i/>
          <w:iCs/>
          <w:sz w:val="22"/>
          <w:szCs w:val="22"/>
        </w:rPr>
      </w:pPr>
    </w:p>
    <w:p w14:paraId="5B1D7814" w14:textId="17073473" w:rsidR="00323654" w:rsidRPr="00B57C43" w:rsidRDefault="00323654">
      <w:pPr>
        <w:rPr>
          <w:b/>
          <w:bCs/>
          <w:sz w:val="22"/>
          <w:szCs w:val="22"/>
        </w:rPr>
      </w:pPr>
      <w:r w:rsidRPr="00B57C43">
        <w:rPr>
          <w:b/>
          <w:bCs/>
          <w:sz w:val="22"/>
          <w:szCs w:val="22"/>
        </w:rPr>
        <w:t>Introduction</w:t>
      </w:r>
      <w:r w:rsidR="00F94977" w:rsidRPr="00B57C43">
        <w:rPr>
          <w:b/>
          <w:bCs/>
          <w:sz w:val="22"/>
          <w:szCs w:val="22"/>
        </w:rPr>
        <w:t>/</w:t>
      </w:r>
      <w:r w:rsidR="00EF0B04" w:rsidRPr="00B57C43">
        <w:rPr>
          <w:b/>
          <w:bCs/>
          <w:sz w:val="22"/>
          <w:szCs w:val="22"/>
        </w:rPr>
        <w:t xml:space="preserve">on </w:t>
      </w:r>
      <w:r w:rsidR="00F94977" w:rsidRPr="00B57C43">
        <w:rPr>
          <w:b/>
          <w:bCs/>
          <w:sz w:val="22"/>
          <w:szCs w:val="22"/>
        </w:rPr>
        <w:t>judgment</w:t>
      </w:r>
    </w:p>
    <w:p w14:paraId="42948E67" w14:textId="28378409" w:rsidR="00323654" w:rsidRPr="00B57C43" w:rsidRDefault="00BB47C5">
      <w:pPr>
        <w:rPr>
          <w:sz w:val="22"/>
          <w:szCs w:val="22"/>
        </w:rPr>
      </w:pPr>
      <w:r>
        <w:rPr>
          <w:sz w:val="22"/>
          <w:szCs w:val="22"/>
        </w:rPr>
        <w:t xml:space="preserve">Beatrice </w:t>
      </w:r>
      <w:proofErr w:type="spellStart"/>
      <w:r w:rsidR="00323654" w:rsidRPr="00B57C43">
        <w:rPr>
          <w:sz w:val="22"/>
          <w:szCs w:val="22"/>
        </w:rPr>
        <w:t>Longuenesse</w:t>
      </w:r>
      <w:proofErr w:type="spellEnd"/>
      <w:r w:rsidR="00323654" w:rsidRPr="00B57C43">
        <w:rPr>
          <w:sz w:val="22"/>
          <w:szCs w:val="22"/>
        </w:rPr>
        <w:t xml:space="preserve"> </w:t>
      </w:r>
      <w:r w:rsidR="00323654" w:rsidRPr="00B57C43">
        <w:rPr>
          <w:i/>
          <w:iCs/>
          <w:sz w:val="22"/>
          <w:szCs w:val="22"/>
        </w:rPr>
        <w:t>Kant and the Capacity to Judge</w:t>
      </w:r>
      <w:r w:rsidR="00EF0B04" w:rsidRPr="00B57C43">
        <w:rPr>
          <w:i/>
          <w:iCs/>
          <w:sz w:val="22"/>
          <w:szCs w:val="22"/>
        </w:rPr>
        <w:t xml:space="preserve"> </w:t>
      </w:r>
      <w:r w:rsidR="00EF0B04" w:rsidRPr="00B57C43">
        <w:rPr>
          <w:sz w:val="22"/>
          <w:szCs w:val="22"/>
        </w:rPr>
        <w:t>(Princeton 1998)</w:t>
      </w:r>
    </w:p>
    <w:p w14:paraId="65B5926D" w14:textId="01BF5CF5" w:rsidR="00323654" w:rsidRPr="00B57C43" w:rsidRDefault="00323654">
      <w:pPr>
        <w:rPr>
          <w:sz w:val="22"/>
          <w:szCs w:val="22"/>
        </w:rPr>
      </w:pPr>
    </w:p>
    <w:p w14:paraId="255DD210" w14:textId="3C99FC5C" w:rsidR="00323654" w:rsidRPr="00B57C43" w:rsidRDefault="00323654">
      <w:pPr>
        <w:rPr>
          <w:b/>
          <w:bCs/>
          <w:sz w:val="22"/>
          <w:szCs w:val="22"/>
        </w:rPr>
      </w:pPr>
      <w:r w:rsidRPr="00B57C43">
        <w:rPr>
          <w:b/>
          <w:bCs/>
          <w:sz w:val="22"/>
          <w:szCs w:val="22"/>
        </w:rPr>
        <w:t>Aesthetics</w:t>
      </w:r>
    </w:p>
    <w:p w14:paraId="7A73375A" w14:textId="7438ADF3" w:rsidR="00323654" w:rsidRPr="00B57C43" w:rsidRDefault="00323654">
      <w:pPr>
        <w:rPr>
          <w:sz w:val="22"/>
          <w:szCs w:val="22"/>
        </w:rPr>
      </w:pPr>
      <w:r w:rsidRPr="00B57C43">
        <w:rPr>
          <w:sz w:val="22"/>
          <w:szCs w:val="22"/>
        </w:rPr>
        <w:t xml:space="preserve">Paul Guyer </w:t>
      </w:r>
      <w:r w:rsidRPr="00B57C43">
        <w:rPr>
          <w:i/>
          <w:iCs/>
          <w:sz w:val="22"/>
          <w:szCs w:val="22"/>
        </w:rPr>
        <w:t>Kant and the Claims of Taste</w:t>
      </w:r>
      <w:r w:rsidR="00EF0B04" w:rsidRPr="00B57C43">
        <w:rPr>
          <w:i/>
          <w:iCs/>
          <w:sz w:val="22"/>
          <w:szCs w:val="22"/>
        </w:rPr>
        <w:t xml:space="preserve"> </w:t>
      </w:r>
      <w:r w:rsidR="00EF0B04" w:rsidRPr="00B57C43">
        <w:rPr>
          <w:sz w:val="22"/>
          <w:szCs w:val="22"/>
        </w:rPr>
        <w:t>(Cambridge 1997)</w:t>
      </w:r>
    </w:p>
    <w:p w14:paraId="2ED42B2C" w14:textId="3EECFF2B" w:rsidR="00EF0B04" w:rsidRPr="00B57C43" w:rsidRDefault="00F94977" w:rsidP="00B200A7">
      <w:pPr>
        <w:rPr>
          <w:sz w:val="22"/>
          <w:szCs w:val="22"/>
        </w:rPr>
      </w:pPr>
      <w:r w:rsidRPr="00B57C43">
        <w:rPr>
          <w:sz w:val="22"/>
          <w:szCs w:val="22"/>
        </w:rPr>
        <w:t xml:space="preserve">Henry Allison </w:t>
      </w:r>
      <w:r w:rsidRPr="00B57C43">
        <w:rPr>
          <w:i/>
          <w:iCs/>
          <w:sz w:val="22"/>
          <w:szCs w:val="22"/>
        </w:rPr>
        <w:t>Kant’s Theory of Taste</w:t>
      </w:r>
      <w:r w:rsidR="00EF0B04" w:rsidRPr="00B57C43">
        <w:rPr>
          <w:i/>
          <w:iCs/>
          <w:sz w:val="22"/>
          <w:szCs w:val="22"/>
        </w:rPr>
        <w:t xml:space="preserve"> </w:t>
      </w:r>
      <w:r w:rsidR="00EF0B04" w:rsidRPr="00B57C43">
        <w:rPr>
          <w:sz w:val="22"/>
          <w:szCs w:val="22"/>
        </w:rPr>
        <w:t>(Cambridge 2001)</w:t>
      </w:r>
    </w:p>
    <w:p w14:paraId="48E30CE5" w14:textId="4972878E" w:rsidR="00F94977" w:rsidRPr="00B57C43" w:rsidRDefault="00F94977">
      <w:pPr>
        <w:rPr>
          <w:sz w:val="22"/>
          <w:szCs w:val="22"/>
        </w:rPr>
      </w:pPr>
    </w:p>
    <w:p w14:paraId="49C72EAC" w14:textId="25E01D0B" w:rsidR="00F94977" w:rsidRPr="00B57C43" w:rsidRDefault="00F94977">
      <w:pPr>
        <w:rPr>
          <w:b/>
          <w:bCs/>
          <w:sz w:val="22"/>
          <w:szCs w:val="22"/>
        </w:rPr>
      </w:pPr>
      <w:r w:rsidRPr="00B57C43">
        <w:rPr>
          <w:b/>
          <w:bCs/>
          <w:sz w:val="22"/>
          <w:szCs w:val="22"/>
        </w:rPr>
        <w:t>Biology</w:t>
      </w:r>
    </w:p>
    <w:p w14:paraId="21C70325" w14:textId="39A3938C" w:rsidR="00F94977" w:rsidRPr="00B57C43" w:rsidRDefault="00F94977">
      <w:pPr>
        <w:rPr>
          <w:sz w:val="22"/>
          <w:szCs w:val="22"/>
        </w:rPr>
      </w:pPr>
      <w:r w:rsidRPr="00B57C43">
        <w:rPr>
          <w:sz w:val="22"/>
          <w:szCs w:val="22"/>
        </w:rPr>
        <w:t xml:space="preserve">Paul Guyer </w:t>
      </w:r>
      <w:r w:rsidRPr="00B57C43">
        <w:rPr>
          <w:i/>
          <w:iCs/>
          <w:sz w:val="22"/>
          <w:szCs w:val="22"/>
        </w:rPr>
        <w:t>Kant’s System of Nature and Freedom</w:t>
      </w:r>
      <w:r w:rsidRPr="00B57C43">
        <w:rPr>
          <w:sz w:val="22"/>
          <w:szCs w:val="22"/>
        </w:rPr>
        <w:t xml:space="preserve"> (</w:t>
      </w:r>
      <w:r w:rsidR="00EF0B04" w:rsidRPr="00B57C43">
        <w:rPr>
          <w:sz w:val="22"/>
          <w:szCs w:val="22"/>
        </w:rPr>
        <w:t>Oxford, 2005</w:t>
      </w:r>
      <w:r w:rsidRPr="00B57C43">
        <w:rPr>
          <w:sz w:val="22"/>
          <w:szCs w:val="22"/>
        </w:rPr>
        <w:t>)</w:t>
      </w:r>
    </w:p>
    <w:p w14:paraId="39917414" w14:textId="77777777" w:rsidR="00EF0B04" w:rsidRPr="00B57C43" w:rsidRDefault="00EF0B04">
      <w:pPr>
        <w:rPr>
          <w:sz w:val="22"/>
          <w:szCs w:val="22"/>
        </w:rPr>
      </w:pPr>
    </w:p>
    <w:p w14:paraId="6DDB53EC" w14:textId="33AED4A5" w:rsidR="00EF0B04" w:rsidRPr="00B57C43" w:rsidRDefault="00EF0B04">
      <w:pPr>
        <w:rPr>
          <w:smallCaps/>
          <w:sz w:val="22"/>
          <w:szCs w:val="22"/>
        </w:rPr>
      </w:pPr>
      <w:r w:rsidRPr="00B57C43">
        <w:rPr>
          <w:smallCaps/>
          <w:sz w:val="22"/>
          <w:szCs w:val="22"/>
        </w:rPr>
        <w:t xml:space="preserve">A </w:t>
      </w:r>
      <w:r w:rsidRPr="00B57C43">
        <w:rPr>
          <w:i/>
          <w:iCs/>
          <w:smallCaps/>
          <w:sz w:val="22"/>
          <w:szCs w:val="22"/>
        </w:rPr>
        <w:t>very</w:t>
      </w:r>
      <w:r w:rsidRPr="00B57C43">
        <w:rPr>
          <w:smallCaps/>
          <w:sz w:val="22"/>
          <w:szCs w:val="22"/>
        </w:rPr>
        <w:t xml:space="preserve"> abbreviated list of </w:t>
      </w:r>
      <w:r w:rsidR="00BC082A">
        <w:rPr>
          <w:smallCaps/>
          <w:sz w:val="22"/>
          <w:szCs w:val="22"/>
        </w:rPr>
        <w:t>central</w:t>
      </w:r>
      <w:r w:rsidRPr="00B57C43">
        <w:rPr>
          <w:smallCaps/>
          <w:sz w:val="22"/>
          <w:szCs w:val="22"/>
        </w:rPr>
        <w:t xml:space="preserve"> articles</w:t>
      </w:r>
      <w:r w:rsidR="00A92DA4" w:rsidRPr="00B57C43">
        <w:rPr>
          <w:smallCaps/>
          <w:sz w:val="22"/>
          <w:szCs w:val="22"/>
        </w:rPr>
        <w:t xml:space="preserve"> (see me for further suggestions)</w:t>
      </w:r>
    </w:p>
    <w:p w14:paraId="4845A517" w14:textId="5F279BEA" w:rsidR="00A92DA4" w:rsidRPr="00B57C43" w:rsidRDefault="00A92DA4" w:rsidP="00A92DA4">
      <w:pPr>
        <w:shd w:val="clear" w:color="auto" w:fill="FFFFFF"/>
        <w:spacing w:before="100" w:beforeAutospacing="1" w:after="120" w:line="300" w:lineRule="atLeast"/>
        <w:ind w:left="720" w:hanging="720"/>
        <w:rPr>
          <w:color w:val="1A1A1A"/>
          <w:sz w:val="22"/>
          <w:szCs w:val="22"/>
        </w:rPr>
      </w:pPr>
      <w:proofErr w:type="spellStart"/>
      <w:r w:rsidRPr="00B57C43">
        <w:rPr>
          <w:color w:val="1A1A1A"/>
          <w:sz w:val="22"/>
          <w:szCs w:val="22"/>
        </w:rPr>
        <w:t>Ameriks</w:t>
      </w:r>
      <w:proofErr w:type="spellEnd"/>
      <w:r w:rsidRPr="00B57C43">
        <w:rPr>
          <w:color w:val="1A1A1A"/>
          <w:sz w:val="22"/>
          <w:szCs w:val="22"/>
        </w:rPr>
        <w:t xml:space="preserve">, Karl. (2003) </w:t>
      </w:r>
      <w:r w:rsidRPr="00B57C43">
        <w:rPr>
          <w:i/>
          <w:iCs/>
          <w:color w:val="1A1A1A"/>
          <w:sz w:val="22"/>
          <w:szCs w:val="22"/>
        </w:rPr>
        <w:t xml:space="preserve">Interpreting Kant’s Critiques </w:t>
      </w:r>
      <w:r w:rsidRPr="00B57C43">
        <w:rPr>
          <w:color w:val="1A1A1A"/>
          <w:sz w:val="22"/>
          <w:szCs w:val="22"/>
        </w:rPr>
        <w:t xml:space="preserve">(Cambridge) </w:t>
      </w:r>
      <w:proofErr w:type="spellStart"/>
      <w:r w:rsidRPr="00B57C43">
        <w:rPr>
          <w:color w:val="1A1A1A"/>
          <w:sz w:val="22"/>
          <w:szCs w:val="22"/>
        </w:rPr>
        <w:t>Chs</w:t>
      </w:r>
      <w:proofErr w:type="spellEnd"/>
      <w:r w:rsidRPr="00B57C43">
        <w:rPr>
          <w:color w:val="1A1A1A"/>
          <w:sz w:val="22"/>
          <w:szCs w:val="22"/>
        </w:rPr>
        <w:t xml:space="preserve">. 12–14 on aesthetics. </w:t>
      </w:r>
    </w:p>
    <w:p w14:paraId="163FBF72" w14:textId="219DB132" w:rsidR="00A92DA4" w:rsidRPr="00B57C43" w:rsidRDefault="00A92DA4" w:rsidP="00A92DA4">
      <w:pPr>
        <w:shd w:val="clear" w:color="auto" w:fill="FFFFFF"/>
        <w:spacing w:before="100" w:beforeAutospacing="1" w:after="120" w:line="300" w:lineRule="atLeast"/>
        <w:ind w:left="720" w:hanging="720"/>
        <w:rPr>
          <w:color w:val="1A1A1A"/>
          <w:sz w:val="22"/>
          <w:szCs w:val="22"/>
        </w:rPr>
      </w:pPr>
      <w:r w:rsidRPr="00B57C43">
        <w:rPr>
          <w:color w:val="1A1A1A"/>
          <w:sz w:val="22"/>
          <w:szCs w:val="22"/>
        </w:rPr>
        <w:t>Aquila, R., 1991. “Unity of Organism, Unity of Thought, and the Unity of the Critique of Judgment,” </w:t>
      </w:r>
      <w:r w:rsidRPr="00B57C43">
        <w:rPr>
          <w:i/>
          <w:iCs/>
          <w:color w:val="1A1A1A"/>
          <w:sz w:val="22"/>
          <w:szCs w:val="22"/>
        </w:rPr>
        <w:t>Southern Journal of Philosophy</w:t>
      </w:r>
      <w:r w:rsidRPr="00B57C43">
        <w:rPr>
          <w:color w:val="1A1A1A"/>
          <w:sz w:val="22"/>
          <w:szCs w:val="22"/>
        </w:rPr>
        <w:t>, 30 (Supplement): 139–155.</w:t>
      </w:r>
    </w:p>
    <w:p w14:paraId="40176F7C" w14:textId="77777777" w:rsidR="00A92DA4" w:rsidRPr="00B57C43" w:rsidRDefault="00A92DA4" w:rsidP="00A92DA4">
      <w:pPr>
        <w:widowControl w:val="0"/>
        <w:autoSpaceDE w:val="0"/>
        <w:autoSpaceDN w:val="0"/>
        <w:adjustRightInd w:val="0"/>
        <w:ind w:left="720" w:hanging="720"/>
        <w:rPr>
          <w:sz w:val="22"/>
          <w:szCs w:val="22"/>
        </w:rPr>
      </w:pPr>
    </w:p>
    <w:p w14:paraId="011CA675" w14:textId="6CE1EA09" w:rsidR="00A92DA4" w:rsidRPr="00B57C43" w:rsidRDefault="00A92DA4" w:rsidP="00B352D7">
      <w:pPr>
        <w:widowControl w:val="0"/>
        <w:autoSpaceDE w:val="0"/>
        <w:autoSpaceDN w:val="0"/>
        <w:adjustRightInd w:val="0"/>
        <w:ind w:left="720" w:hanging="720"/>
        <w:rPr>
          <w:color w:val="1A1A1A"/>
          <w:sz w:val="22"/>
          <w:szCs w:val="22"/>
        </w:rPr>
      </w:pPr>
      <w:proofErr w:type="spellStart"/>
      <w:r w:rsidRPr="00B57C43">
        <w:rPr>
          <w:sz w:val="22"/>
          <w:szCs w:val="22"/>
        </w:rPr>
        <w:t>Breitenbach</w:t>
      </w:r>
      <w:proofErr w:type="spellEnd"/>
      <w:r w:rsidRPr="00B57C43">
        <w:rPr>
          <w:sz w:val="22"/>
          <w:szCs w:val="22"/>
        </w:rPr>
        <w:t xml:space="preserve">, Angela. (2017). “Laws in Biology and the Unity of Nature” in </w:t>
      </w:r>
      <w:r w:rsidRPr="00B57C43">
        <w:rPr>
          <w:i/>
          <w:iCs/>
          <w:sz w:val="22"/>
          <w:szCs w:val="22"/>
        </w:rPr>
        <w:t>Kant and the Laws of Nature</w:t>
      </w:r>
      <w:r w:rsidRPr="00B57C43">
        <w:rPr>
          <w:sz w:val="22"/>
          <w:szCs w:val="22"/>
        </w:rPr>
        <w:t xml:space="preserve">, ed. M. </w:t>
      </w:r>
      <w:proofErr w:type="spellStart"/>
      <w:r w:rsidRPr="00B57C43">
        <w:rPr>
          <w:sz w:val="22"/>
          <w:szCs w:val="22"/>
        </w:rPr>
        <w:t>Massimi</w:t>
      </w:r>
      <w:proofErr w:type="spellEnd"/>
      <w:r w:rsidRPr="00B57C43">
        <w:rPr>
          <w:sz w:val="22"/>
          <w:szCs w:val="22"/>
        </w:rPr>
        <w:t xml:space="preserve"> and A. </w:t>
      </w:r>
      <w:proofErr w:type="spellStart"/>
      <w:r w:rsidRPr="00B57C43">
        <w:rPr>
          <w:sz w:val="22"/>
          <w:szCs w:val="22"/>
        </w:rPr>
        <w:t>Breitenbach</w:t>
      </w:r>
      <w:proofErr w:type="spellEnd"/>
      <w:r w:rsidRPr="00B57C43">
        <w:rPr>
          <w:sz w:val="22"/>
          <w:szCs w:val="22"/>
        </w:rPr>
        <w:t xml:space="preserve"> (Cambridge University Press</w:t>
      </w:r>
      <w:r w:rsidR="00FC57FE">
        <w:rPr>
          <w:sz w:val="22"/>
          <w:szCs w:val="22"/>
        </w:rPr>
        <w:t>)</w:t>
      </w:r>
      <w:r w:rsidR="00B352D7">
        <w:rPr>
          <w:sz w:val="22"/>
          <w:szCs w:val="22"/>
        </w:rPr>
        <w:t xml:space="preserve">. </w:t>
      </w:r>
    </w:p>
    <w:p w14:paraId="2B46AB2D" w14:textId="77777777" w:rsidR="00A92DA4" w:rsidRPr="00B57C43" w:rsidRDefault="00A92DA4" w:rsidP="00A92DA4">
      <w:pPr>
        <w:ind w:left="720" w:hanging="720"/>
        <w:rPr>
          <w:sz w:val="22"/>
          <w:szCs w:val="22"/>
        </w:rPr>
      </w:pPr>
    </w:p>
    <w:p w14:paraId="2F74B4BE" w14:textId="368D668A" w:rsidR="00A92DA4" w:rsidRPr="00B57C43" w:rsidRDefault="00A92DA4" w:rsidP="00A92DA4">
      <w:pPr>
        <w:widowControl w:val="0"/>
        <w:autoSpaceDE w:val="0"/>
        <w:autoSpaceDN w:val="0"/>
        <w:adjustRightInd w:val="0"/>
        <w:ind w:left="720" w:hanging="720"/>
        <w:rPr>
          <w:sz w:val="22"/>
          <w:szCs w:val="22"/>
        </w:rPr>
      </w:pPr>
      <w:proofErr w:type="spellStart"/>
      <w:r w:rsidRPr="00B57C43">
        <w:rPr>
          <w:sz w:val="22"/>
          <w:szCs w:val="22"/>
        </w:rPr>
        <w:t>Ginsborg</w:t>
      </w:r>
      <w:proofErr w:type="spellEnd"/>
      <w:r w:rsidRPr="00B57C43">
        <w:rPr>
          <w:sz w:val="22"/>
          <w:szCs w:val="22"/>
        </w:rPr>
        <w:t xml:space="preserve">, Hannah. (2017). “Why Must We Presuppose the Systematicity of Nature?” in </w:t>
      </w:r>
      <w:r w:rsidRPr="00B57C43">
        <w:rPr>
          <w:i/>
          <w:iCs/>
          <w:sz w:val="22"/>
          <w:szCs w:val="22"/>
        </w:rPr>
        <w:t>Kant and the Laws of Nature</w:t>
      </w:r>
      <w:r w:rsidRPr="00B57C43">
        <w:rPr>
          <w:sz w:val="22"/>
          <w:szCs w:val="22"/>
        </w:rPr>
        <w:t xml:space="preserve">, ed. M. </w:t>
      </w:r>
      <w:proofErr w:type="spellStart"/>
      <w:r w:rsidRPr="00B57C43">
        <w:rPr>
          <w:sz w:val="22"/>
          <w:szCs w:val="22"/>
        </w:rPr>
        <w:t>Massimi</w:t>
      </w:r>
      <w:proofErr w:type="spellEnd"/>
      <w:r w:rsidRPr="00B57C43">
        <w:rPr>
          <w:sz w:val="22"/>
          <w:szCs w:val="22"/>
        </w:rPr>
        <w:t xml:space="preserve"> and A. </w:t>
      </w:r>
      <w:proofErr w:type="spellStart"/>
      <w:r w:rsidRPr="00B57C43">
        <w:rPr>
          <w:sz w:val="22"/>
          <w:szCs w:val="22"/>
        </w:rPr>
        <w:t>Breitenbach</w:t>
      </w:r>
      <w:proofErr w:type="spellEnd"/>
      <w:r w:rsidRPr="00B57C43">
        <w:rPr>
          <w:sz w:val="22"/>
          <w:szCs w:val="22"/>
        </w:rPr>
        <w:t xml:space="preserve"> (Cambridge: Cambridge University Press)</w:t>
      </w:r>
    </w:p>
    <w:p w14:paraId="3328C95C" w14:textId="77777777" w:rsidR="00A92DA4" w:rsidRPr="00B57C43" w:rsidRDefault="00A92DA4" w:rsidP="00A92DA4">
      <w:pPr>
        <w:shd w:val="clear" w:color="auto" w:fill="FFFFFF"/>
        <w:spacing w:before="100" w:beforeAutospacing="1" w:after="120" w:line="300" w:lineRule="atLeast"/>
        <w:ind w:left="720" w:hanging="720"/>
        <w:rPr>
          <w:color w:val="1A1A1A"/>
          <w:sz w:val="22"/>
          <w:szCs w:val="22"/>
        </w:rPr>
      </w:pPr>
      <w:r w:rsidRPr="00B57C43">
        <w:rPr>
          <w:color w:val="1A1A1A"/>
          <w:sz w:val="22"/>
          <w:szCs w:val="22"/>
        </w:rPr>
        <w:t>Kneller, J., 1986. “Kant's Concept of Beauty,” </w:t>
      </w:r>
      <w:r w:rsidRPr="00B57C43">
        <w:rPr>
          <w:rStyle w:val="Emphasis"/>
          <w:color w:val="1A1A1A"/>
          <w:sz w:val="22"/>
          <w:szCs w:val="22"/>
        </w:rPr>
        <w:t>History of Philosophy Quarterly</w:t>
      </w:r>
      <w:r w:rsidRPr="00B57C43">
        <w:rPr>
          <w:color w:val="1A1A1A"/>
          <w:sz w:val="22"/>
          <w:szCs w:val="22"/>
        </w:rPr>
        <w:t>, 3: 311–24.</w:t>
      </w:r>
    </w:p>
    <w:p w14:paraId="766F6CCE" w14:textId="06960DC4" w:rsidR="00A92DA4" w:rsidRPr="00B57C43" w:rsidRDefault="00A92DA4" w:rsidP="00A92DA4">
      <w:pPr>
        <w:shd w:val="clear" w:color="auto" w:fill="FFFFFF"/>
        <w:spacing w:before="100" w:beforeAutospacing="1" w:after="120" w:line="300" w:lineRule="atLeast"/>
        <w:ind w:left="720" w:hanging="720"/>
        <w:rPr>
          <w:color w:val="1A1A1A"/>
          <w:sz w:val="22"/>
          <w:szCs w:val="22"/>
        </w:rPr>
      </w:pPr>
      <w:proofErr w:type="spellStart"/>
      <w:r w:rsidRPr="00B57C43">
        <w:rPr>
          <w:color w:val="1A1A1A"/>
          <w:sz w:val="22"/>
          <w:szCs w:val="22"/>
        </w:rPr>
        <w:t>Kreines</w:t>
      </w:r>
      <w:proofErr w:type="spellEnd"/>
      <w:r w:rsidRPr="00B57C43">
        <w:rPr>
          <w:color w:val="1A1A1A"/>
          <w:sz w:val="22"/>
          <w:szCs w:val="22"/>
        </w:rPr>
        <w:t xml:space="preserve">, J., 2005. “The Inexplicability of Kant's </w:t>
      </w:r>
      <w:proofErr w:type="spellStart"/>
      <w:r w:rsidRPr="00B57C43">
        <w:rPr>
          <w:color w:val="1A1A1A"/>
          <w:sz w:val="22"/>
          <w:szCs w:val="22"/>
        </w:rPr>
        <w:t>Naturzweck</w:t>
      </w:r>
      <w:proofErr w:type="spellEnd"/>
      <w:r w:rsidRPr="00B57C43">
        <w:rPr>
          <w:color w:val="1A1A1A"/>
          <w:sz w:val="22"/>
          <w:szCs w:val="22"/>
        </w:rPr>
        <w:t>: Kant on Teleology, Explanation and Biology,” </w:t>
      </w:r>
      <w:proofErr w:type="spellStart"/>
      <w:r w:rsidRPr="00B57C43">
        <w:rPr>
          <w:rStyle w:val="Emphasis"/>
          <w:color w:val="1A1A1A"/>
          <w:sz w:val="22"/>
          <w:szCs w:val="22"/>
        </w:rPr>
        <w:t>Archiv</w:t>
      </w:r>
      <w:proofErr w:type="spellEnd"/>
      <w:r w:rsidRPr="00B57C43">
        <w:rPr>
          <w:rStyle w:val="Emphasis"/>
          <w:color w:val="1A1A1A"/>
          <w:sz w:val="22"/>
          <w:szCs w:val="22"/>
        </w:rPr>
        <w:t xml:space="preserve"> </w:t>
      </w:r>
      <w:proofErr w:type="spellStart"/>
      <w:r w:rsidRPr="00B57C43">
        <w:rPr>
          <w:rStyle w:val="Emphasis"/>
          <w:color w:val="1A1A1A"/>
          <w:sz w:val="22"/>
          <w:szCs w:val="22"/>
        </w:rPr>
        <w:t>für</w:t>
      </w:r>
      <w:proofErr w:type="spellEnd"/>
      <w:r w:rsidRPr="00B57C43">
        <w:rPr>
          <w:rStyle w:val="Emphasis"/>
          <w:color w:val="1A1A1A"/>
          <w:sz w:val="22"/>
          <w:szCs w:val="22"/>
        </w:rPr>
        <w:t xml:space="preserve"> </w:t>
      </w:r>
      <w:proofErr w:type="spellStart"/>
      <w:r w:rsidRPr="00B57C43">
        <w:rPr>
          <w:rStyle w:val="Emphasis"/>
          <w:color w:val="1A1A1A"/>
          <w:sz w:val="22"/>
          <w:szCs w:val="22"/>
        </w:rPr>
        <w:t>Geschichte</w:t>
      </w:r>
      <w:proofErr w:type="spellEnd"/>
      <w:r w:rsidRPr="00B57C43">
        <w:rPr>
          <w:rStyle w:val="Emphasis"/>
          <w:color w:val="1A1A1A"/>
          <w:sz w:val="22"/>
          <w:szCs w:val="22"/>
        </w:rPr>
        <w:t xml:space="preserve"> der Philosophie</w:t>
      </w:r>
      <w:r w:rsidRPr="00B57C43">
        <w:rPr>
          <w:color w:val="1A1A1A"/>
          <w:sz w:val="22"/>
          <w:szCs w:val="22"/>
        </w:rPr>
        <w:t>, 87: 270–311.</w:t>
      </w:r>
    </w:p>
    <w:p w14:paraId="2FDE5B28" w14:textId="77777777" w:rsidR="00A92DA4" w:rsidRPr="00B57C43" w:rsidRDefault="00A92DA4" w:rsidP="00A92DA4">
      <w:pPr>
        <w:shd w:val="clear" w:color="auto" w:fill="FFFFFF"/>
        <w:spacing w:before="100" w:beforeAutospacing="1" w:after="120" w:line="300" w:lineRule="atLeast"/>
        <w:ind w:left="720" w:hanging="720"/>
        <w:rPr>
          <w:color w:val="1A1A1A"/>
          <w:sz w:val="22"/>
          <w:szCs w:val="22"/>
        </w:rPr>
      </w:pPr>
      <w:r w:rsidRPr="00B57C43">
        <w:rPr>
          <w:color w:val="1A1A1A"/>
          <w:sz w:val="22"/>
          <w:szCs w:val="22"/>
        </w:rPr>
        <w:t>Pippin, R., 1996. “The Significance of Taste: Kant, Aesthetic and Reflective Judgment,” </w:t>
      </w:r>
      <w:r w:rsidRPr="00B57C43">
        <w:rPr>
          <w:rStyle w:val="Emphasis"/>
          <w:color w:val="1A1A1A"/>
          <w:sz w:val="22"/>
          <w:szCs w:val="22"/>
        </w:rPr>
        <w:t>Journal of the History of Philosophy</w:t>
      </w:r>
      <w:r w:rsidRPr="00B57C43">
        <w:rPr>
          <w:color w:val="1A1A1A"/>
          <w:sz w:val="22"/>
          <w:szCs w:val="22"/>
        </w:rPr>
        <w:t>, 34(4): 549–569.</w:t>
      </w:r>
    </w:p>
    <w:p w14:paraId="6FE7F8CF" w14:textId="31411862" w:rsidR="00EF0B04" w:rsidRPr="00B57C43" w:rsidRDefault="00EF0B04" w:rsidP="00A92DA4">
      <w:pPr>
        <w:ind w:left="720" w:hanging="720"/>
        <w:rPr>
          <w:sz w:val="22"/>
          <w:szCs w:val="22"/>
        </w:rPr>
      </w:pPr>
    </w:p>
    <w:p w14:paraId="2B14F712" w14:textId="2A51C57D" w:rsidR="00EF0B04" w:rsidRPr="00B57C43" w:rsidRDefault="00EF0B04" w:rsidP="00A92DA4">
      <w:pPr>
        <w:widowControl w:val="0"/>
        <w:autoSpaceDE w:val="0"/>
        <w:autoSpaceDN w:val="0"/>
        <w:adjustRightInd w:val="0"/>
        <w:ind w:left="720" w:hanging="720"/>
        <w:rPr>
          <w:sz w:val="22"/>
          <w:szCs w:val="22"/>
        </w:rPr>
      </w:pPr>
      <w:r w:rsidRPr="00B57C43">
        <w:rPr>
          <w:sz w:val="22"/>
          <w:szCs w:val="22"/>
        </w:rPr>
        <w:t xml:space="preserve">Teufel, Thomas (2011). “What is the Problem of Teleology in Kant’s </w:t>
      </w:r>
      <w:r w:rsidRPr="00B57C43">
        <w:rPr>
          <w:i/>
          <w:iCs/>
          <w:sz w:val="22"/>
          <w:szCs w:val="22"/>
        </w:rPr>
        <w:t>Critique of the Power of Teleological Judgment</w:t>
      </w:r>
      <w:r w:rsidRPr="00B57C43">
        <w:rPr>
          <w:sz w:val="22"/>
          <w:szCs w:val="22"/>
        </w:rPr>
        <w:t xml:space="preserve">?” in </w:t>
      </w:r>
      <w:r w:rsidRPr="00B57C43">
        <w:rPr>
          <w:i/>
          <w:iCs/>
          <w:sz w:val="22"/>
          <w:szCs w:val="22"/>
        </w:rPr>
        <w:t xml:space="preserve">SATS </w:t>
      </w:r>
      <w:r w:rsidRPr="00B57C43">
        <w:rPr>
          <w:sz w:val="22"/>
          <w:szCs w:val="22"/>
        </w:rPr>
        <w:t xml:space="preserve">v. 12, pp. 198-236. </w:t>
      </w:r>
    </w:p>
    <w:p w14:paraId="28E2AA7F" w14:textId="6F3DAB2D" w:rsidR="00EF0B04" w:rsidRPr="00B57C43" w:rsidRDefault="00A92DA4" w:rsidP="00B57C43">
      <w:pPr>
        <w:shd w:val="clear" w:color="auto" w:fill="FFFFFF"/>
        <w:spacing w:before="100" w:beforeAutospacing="1" w:after="120" w:line="300" w:lineRule="atLeast"/>
        <w:ind w:left="720" w:hanging="720"/>
        <w:rPr>
          <w:color w:val="1A1A1A"/>
          <w:sz w:val="22"/>
          <w:szCs w:val="22"/>
        </w:rPr>
      </w:pPr>
      <w:r w:rsidRPr="00B57C43">
        <w:rPr>
          <w:color w:val="1A1A1A"/>
          <w:sz w:val="22"/>
          <w:szCs w:val="22"/>
        </w:rPr>
        <w:t>Watkins, E., 2009. “The Antinomy of Teleological Judgment,” </w:t>
      </w:r>
      <w:r w:rsidRPr="00B57C43">
        <w:rPr>
          <w:rStyle w:val="Emphasis"/>
          <w:color w:val="1A1A1A"/>
          <w:sz w:val="22"/>
          <w:szCs w:val="22"/>
        </w:rPr>
        <w:t>Kant Yearbook</w:t>
      </w:r>
      <w:r w:rsidRPr="00B57C43">
        <w:rPr>
          <w:color w:val="1A1A1A"/>
          <w:sz w:val="22"/>
          <w:szCs w:val="22"/>
        </w:rPr>
        <w:t>, 1: 197–221.</w:t>
      </w:r>
    </w:p>
    <w:sectPr w:rsidR="00EF0B04" w:rsidRPr="00B57C43" w:rsidSect="00A0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093A"/>
    <w:multiLevelType w:val="multilevel"/>
    <w:tmpl w:val="27F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16A95"/>
    <w:multiLevelType w:val="multilevel"/>
    <w:tmpl w:val="6ECE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66E6D"/>
    <w:multiLevelType w:val="multilevel"/>
    <w:tmpl w:val="58C2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247D7"/>
    <w:multiLevelType w:val="hybridMultilevel"/>
    <w:tmpl w:val="1C7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B4C2E"/>
    <w:multiLevelType w:val="multilevel"/>
    <w:tmpl w:val="A10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E2502"/>
    <w:multiLevelType w:val="multilevel"/>
    <w:tmpl w:val="ECF8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54"/>
    <w:rsid w:val="00073D94"/>
    <w:rsid w:val="000B41CE"/>
    <w:rsid w:val="000E2776"/>
    <w:rsid w:val="000E5774"/>
    <w:rsid w:val="00126345"/>
    <w:rsid w:val="001E0621"/>
    <w:rsid w:val="00245AB6"/>
    <w:rsid w:val="002A6762"/>
    <w:rsid w:val="00323654"/>
    <w:rsid w:val="004F0438"/>
    <w:rsid w:val="0053769D"/>
    <w:rsid w:val="005D792C"/>
    <w:rsid w:val="00600C4A"/>
    <w:rsid w:val="006A2915"/>
    <w:rsid w:val="006C6D28"/>
    <w:rsid w:val="00707D70"/>
    <w:rsid w:val="0073291C"/>
    <w:rsid w:val="00735A00"/>
    <w:rsid w:val="00756E17"/>
    <w:rsid w:val="0083219B"/>
    <w:rsid w:val="0086607D"/>
    <w:rsid w:val="00885709"/>
    <w:rsid w:val="00937E0F"/>
    <w:rsid w:val="00982E92"/>
    <w:rsid w:val="009919F1"/>
    <w:rsid w:val="00A01ACE"/>
    <w:rsid w:val="00A61B25"/>
    <w:rsid w:val="00A92DA4"/>
    <w:rsid w:val="00B200A7"/>
    <w:rsid w:val="00B25F10"/>
    <w:rsid w:val="00B352D7"/>
    <w:rsid w:val="00B45638"/>
    <w:rsid w:val="00B57C43"/>
    <w:rsid w:val="00B80ABA"/>
    <w:rsid w:val="00BB47C5"/>
    <w:rsid w:val="00BC082A"/>
    <w:rsid w:val="00C12E42"/>
    <w:rsid w:val="00CE1D1C"/>
    <w:rsid w:val="00CE4B03"/>
    <w:rsid w:val="00D4440F"/>
    <w:rsid w:val="00D900F1"/>
    <w:rsid w:val="00E976E2"/>
    <w:rsid w:val="00EB568B"/>
    <w:rsid w:val="00EC3DCB"/>
    <w:rsid w:val="00EF0B04"/>
    <w:rsid w:val="00F074AC"/>
    <w:rsid w:val="00F11F50"/>
    <w:rsid w:val="00F35037"/>
    <w:rsid w:val="00F94977"/>
    <w:rsid w:val="00FC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DC438"/>
  <w15:chartTrackingRefBased/>
  <w15:docId w15:val="{4E95730A-51FF-BD40-B7CA-9B13FA56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A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10"/>
    <w:rPr>
      <w:rFonts w:cstheme="minorBidi"/>
    </w:rPr>
  </w:style>
  <w:style w:type="character" w:customStyle="1" w:styleId="FootnoteTextChar">
    <w:name w:val="Footnote Text Char"/>
    <w:basedOn w:val="DefaultParagraphFont"/>
    <w:link w:val="FootnoteText"/>
    <w:uiPriority w:val="99"/>
    <w:rsid w:val="00B25F10"/>
    <w:rPr>
      <w:rFonts w:cstheme="minorBidi"/>
    </w:rPr>
  </w:style>
  <w:style w:type="paragraph" w:styleId="BalloonText">
    <w:name w:val="Balloon Text"/>
    <w:basedOn w:val="Normal"/>
    <w:link w:val="BalloonTextChar"/>
    <w:uiPriority w:val="99"/>
    <w:semiHidden/>
    <w:unhideWhenUsed/>
    <w:rsid w:val="00EF0B04"/>
    <w:rPr>
      <w:sz w:val="18"/>
      <w:szCs w:val="18"/>
    </w:rPr>
  </w:style>
  <w:style w:type="character" w:customStyle="1" w:styleId="BalloonTextChar">
    <w:name w:val="Balloon Text Char"/>
    <w:basedOn w:val="DefaultParagraphFont"/>
    <w:link w:val="BalloonText"/>
    <w:uiPriority w:val="99"/>
    <w:semiHidden/>
    <w:rsid w:val="00EF0B04"/>
    <w:rPr>
      <w:sz w:val="18"/>
      <w:szCs w:val="18"/>
    </w:rPr>
  </w:style>
  <w:style w:type="character" w:styleId="Emphasis">
    <w:name w:val="Emphasis"/>
    <w:basedOn w:val="DefaultParagraphFont"/>
    <w:uiPriority w:val="20"/>
    <w:qFormat/>
    <w:rsid w:val="00A92DA4"/>
    <w:rPr>
      <w:i/>
      <w:iCs/>
    </w:rPr>
  </w:style>
  <w:style w:type="paragraph" w:styleId="ListParagraph">
    <w:name w:val="List Paragraph"/>
    <w:basedOn w:val="Normal"/>
    <w:uiPriority w:val="34"/>
    <w:qFormat/>
    <w:rsid w:val="00A92DA4"/>
    <w:pPr>
      <w:ind w:left="720"/>
      <w:contextualSpacing/>
    </w:pPr>
  </w:style>
  <w:style w:type="paragraph" w:styleId="NormalWeb">
    <w:name w:val="Normal (Web)"/>
    <w:basedOn w:val="Normal"/>
    <w:uiPriority w:val="99"/>
    <w:unhideWhenUsed/>
    <w:rsid w:val="00EC3DCB"/>
    <w:pPr>
      <w:spacing w:before="100" w:beforeAutospacing="1" w:after="100" w:afterAutospacing="1"/>
    </w:pPr>
  </w:style>
  <w:style w:type="character" w:styleId="Hyperlink">
    <w:name w:val="Hyperlink"/>
    <w:basedOn w:val="DefaultParagraphFont"/>
    <w:uiPriority w:val="99"/>
    <w:unhideWhenUsed/>
    <w:rsid w:val="00EC3DCB"/>
    <w:rPr>
      <w:color w:val="0563C1" w:themeColor="hyperlink"/>
      <w:u w:val="single"/>
    </w:rPr>
  </w:style>
  <w:style w:type="character" w:styleId="UnresolvedMention">
    <w:name w:val="Unresolved Mention"/>
    <w:basedOn w:val="DefaultParagraphFont"/>
    <w:uiPriority w:val="99"/>
    <w:semiHidden/>
    <w:unhideWhenUsed/>
    <w:rsid w:val="00EC3DCB"/>
    <w:rPr>
      <w:color w:val="605E5C"/>
      <w:shd w:val="clear" w:color="auto" w:fill="E1DFDD"/>
    </w:rPr>
  </w:style>
  <w:style w:type="character" w:customStyle="1" w:styleId="apple-converted-space">
    <w:name w:val="apple-converted-space"/>
    <w:basedOn w:val="DefaultParagraphFont"/>
    <w:rsid w:val="0073291C"/>
  </w:style>
  <w:style w:type="character" w:styleId="FollowedHyperlink">
    <w:name w:val="FollowedHyperlink"/>
    <w:basedOn w:val="DefaultParagraphFont"/>
    <w:uiPriority w:val="99"/>
    <w:semiHidden/>
    <w:unhideWhenUsed/>
    <w:rsid w:val="00073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40041">
      <w:bodyDiv w:val="1"/>
      <w:marLeft w:val="0"/>
      <w:marRight w:val="0"/>
      <w:marTop w:val="0"/>
      <w:marBottom w:val="0"/>
      <w:divBdr>
        <w:top w:val="none" w:sz="0" w:space="0" w:color="auto"/>
        <w:left w:val="none" w:sz="0" w:space="0" w:color="auto"/>
        <w:bottom w:val="none" w:sz="0" w:space="0" w:color="auto"/>
        <w:right w:val="none" w:sz="0" w:space="0" w:color="auto"/>
      </w:divBdr>
    </w:div>
    <w:div w:id="501285181">
      <w:bodyDiv w:val="1"/>
      <w:marLeft w:val="0"/>
      <w:marRight w:val="0"/>
      <w:marTop w:val="0"/>
      <w:marBottom w:val="0"/>
      <w:divBdr>
        <w:top w:val="none" w:sz="0" w:space="0" w:color="auto"/>
        <w:left w:val="none" w:sz="0" w:space="0" w:color="auto"/>
        <w:bottom w:val="none" w:sz="0" w:space="0" w:color="auto"/>
        <w:right w:val="none" w:sz="0" w:space="0" w:color="auto"/>
      </w:divBdr>
    </w:div>
    <w:div w:id="825704824">
      <w:bodyDiv w:val="1"/>
      <w:marLeft w:val="0"/>
      <w:marRight w:val="0"/>
      <w:marTop w:val="0"/>
      <w:marBottom w:val="0"/>
      <w:divBdr>
        <w:top w:val="none" w:sz="0" w:space="0" w:color="auto"/>
        <w:left w:val="none" w:sz="0" w:space="0" w:color="auto"/>
        <w:bottom w:val="none" w:sz="0" w:space="0" w:color="auto"/>
        <w:right w:val="none" w:sz="0" w:space="0" w:color="auto"/>
      </w:divBdr>
      <w:divsChild>
        <w:div w:id="242837874">
          <w:marLeft w:val="0"/>
          <w:marRight w:val="0"/>
          <w:marTop w:val="0"/>
          <w:marBottom w:val="0"/>
          <w:divBdr>
            <w:top w:val="none" w:sz="0" w:space="0" w:color="auto"/>
            <w:left w:val="none" w:sz="0" w:space="0" w:color="auto"/>
            <w:bottom w:val="none" w:sz="0" w:space="0" w:color="auto"/>
            <w:right w:val="none" w:sz="0" w:space="0" w:color="auto"/>
          </w:divBdr>
          <w:divsChild>
            <w:div w:id="410583521">
              <w:marLeft w:val="0"/>
              <w:marRight w:val="0"/>
              <w:marTop w:val="0"/>
              <w:marBottom w:val="0"/>
              <w:divBdr>
                <w:top w:val="none" w:sz="0" w:space="0" w:color="auto"/>
                <w:left w:val="none" w:sz="0" w:space="0" w:color="auto"/>
                <w:bottom w:val="none" w:sz="0" w:space="0" w:color="auto"/>
                <w:right w:val="none" w:sz="0" w:space="0" w:color="auto"/>
              </w:divBdr>
              <w:divsChild>
                <w:div w:id="1959985353">
                  <w:marLeft w:val="0"/>
                  <w:marRight w:val="0"/>
                  <w:marTop w:val="0"/>
                  <w:marBottom w:val="0"/>
                  <w:divBdr>
                    <w:top w:val="none" w:sz="0" w:space="0" w:color="auto"/>
                    <w:left w:val="none" w:sz="0" w:space="0" w:color="auto"/>
                    <w:bottom w:val="none" w:sz="0" w:space="0" w:color="auto"/>
                    <w:right w:val="none" w:sz="0" w:space="0" w:color="auto"/>
                  </w:divBdr>
                </w:div>
              </w:divsChild>
            </w:div>
            <w:div w:id="405346670">
              <w:marLeft w:val="0"/>
              <w:marRight w:val="0"/>
              <w:marTop w:val="0"/>
              <w:marBottom w:val="0"/>
              <w:divBdr>
                <w:top w:val="none" w:sz="0" w:space="0" w:color="auto"/>
                <w:left w:val="none" w:sz="0" w:space="0" w:color="auto"/>
                <w:bottom w:val="none" w:sz="0" w:space="0" w:color="auto"/>
                <w:right w:val="none" w:sz="0" w:space="0" w:color="auto"/>
              </w:divBdr>
              <w:divsChild>
                <w:div w:id="685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7463">
          <w:marLeft w:val="0"/>
          <w:marRight w:val="0"/>
          <w:marTop w:val="0"/>
          <w:marBottom w:val="0"/>
          <w:divBdr>
            <w:top w:val="none" w:sz="0" w:space="0" w:color="auto"/>
            <w:left w:val="none" w:sz="0" w:space="0" w:color="auto"/>
            <w:bottom w:val="none" w:sz="0" w:space="0" w:color="auto"/>
            <w:right w:val="none" w:sz="0" w:space="0" w:color="auto"/>
          </w:divBdr>
          <w:divsChild>
            <w:div w:id="1170221265">
              <w:marLeft w:val="0"/>
              <w:marRight w:val="0"/>
              <w:marTop w:val="0"/>
              <w:marBottom w:val="0"/>
              <w:divBdr>
                <w:top w:val="none" w:sz="0" w:space="0" w:color="auto"/>
                <w:left w:val="none" w:sz="0" w:space="0" w:color="auto"/>
                <w:bottom w:val="none" w:sz="0" w:space="0" w:color="auto"/>
                <w:right w:val="none" w:sz="0" w:space="0" w:color="auto"/>
              </w:divBdr>
              <w:divsChild>
                <w:div w:id="18070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418">
      <w:bodyDiv w:val="1"/>
      <w:marLeft w:val="0"/>
      <w:marRight w:val="0"/>
      <w:marTop w:val="0"/>
      <w:marBottom w:val="0"/>
      <w:divBdr>
        <w:top w:val="none" w:sz="0" w:space="0" w:color="auto"/>
        <w:left w:val="none" w:sz="0" w:space="0" w:color="auto"/>
        <w:bottom w:val="none" w:sz="0" w:space="0" w:color="auto"/>
        <w:right w:val="none" w:sz="0" w:space="0" w:color="auto"/>
      </w:divBdr>
    </w:div>
    <w:div w:id="1347563307">
      <w:bodyDiv w:val="1"/>
      <w:marLeft w:val="0"/>
      <w:marRight w:val="0"/>
      <w:marTop w:val="0"/>
      <w:marBottom w:val="0"/>
      <w:divBdr>
        <w:top w:val="none" w:sz="0" w:space="0" w:color="auto"/>
        <w:left w:val="none" w:sz="0" w:space="0" w:color="auto"/>
        <w:bottom w:val="none" w:sz="0" w:space="0" w:color="auto"/>
        <w:right w:val="none" w:sz="0" w:space="0" w:color="auto"/>
      </w:divBdr>
    </w:div>
    <w:div w:id="1613778250">
      <w:bodyDiv w:val="1"/>
      <w:marLeft w:val="0"/>
      <w:marRight w:val="0"/>
      <w:marTop w:val="0"/>
      <w:marBottom w:val="0"/>
      <w:divBdr>
        <w:top w:val="none" w:sz="0" w:space="0" w:color="auto"/>
        <w:left w:val="none" w:sz="0" w:space="0" w:color="auto"/>
        <w:bottom w:val="none" w:sz="0" w:space="0" w:color="auto"/>
        <w:right w:val="none" w:sz="0" w:space="0" w:color="auto"/>
      </w:divBdr>
    </w:div>
    <w:div w:id="16239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o.stanford.edu/entries/kant/" TargetMode="External"/><Relationship Id="rId5" Type="http://schemas.openxmlformats.org/officeDocument/2006/relationships/hyperlink" Target="mailto:nfisher1@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4045</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naomi.luce@gmail.com</dc:creator>
  <cp:keywords/>
  <dc:description/>
  <cp:lastModifiedBy>naomi.luce@gmail.com</cp:lastModifiedBy>
  <cp:revision>14</cp:revision>
  <dcterms:created xsi:type="dcterms:W3CDTF">2021-10-13T17:39:00Z</dcterms:created>
  <dcterms:modified xsi:type="dcterms:W3CDTF">2022-01-11T16:23:00Z</dcterms:modified>
</cp:coreProperties>
</file>